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before="480" w:after="360" w:line="240" w:lineRule="auto"/>
        <w:textAlignment w:val="auto"/>
        <w:outlineLvl w:val="0"/>
        <w:rPr>
          <w:rFonts w:ascii="Helvetica" w:eastAsia="Times New Roman" w:hAnsi="Helvetica" w:cs="Times New Roman"/>
          <w:b/>
          <w:bCs/>
          <w:color w:val="242F33"/>
          <w:kern w:val="36"/>
          <w:sz w:val="2"/>
          <w:szCs w:val="2"/>
        </w:rPr>
      </w:pPr>
      <w:r w:rsidRPr="006B358F">
        <w:rPr>
          <w:rFonts w:ascii="Helvetica" w:eastAsia="Times New Roman" w:hAnsi="Helvetica" w:cs="Times New Roman"/>
          <w:b/>
          <w:bCs/>
          <w:color w:val="242F33"/>
          <w:spacing w:val="-14"/>
          <w:kern w:val="36"/>
          <w:sz w:val="60"/>
          <w:szCs w:val="60"/>
        </w:rPr>
        <w:t>Практические рекомендации по составлению исковых заявлений и подобных документов (для начинающих)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b/>
          <w:bCs/>
          <w:color w:val="242F33"/>
          <w:kern w:val="0"/>
          <w:sz w:val="30"/>
          <w:szCs w:val="30"/>
        </w:rPr>
        <w:t>Примечание: </w:t>
      </w: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По материалам занятий в рамках курса «Профессиональные навыки юриста» студентов Юридического института Сибирского Федерального Университета. Рекомендации составлены на основе вопросов и проблем, с которыми ведущий сталкивается чаще всего.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hyperlink r:id="rId7" w:tgtFrame="_self" w:history="1">
        <w:r w:rsidRPr="006B358F">
          <w:rPr>
            <w:rFonts w:ascii="PT Serif" w:eastAsia="Times New Roman" w:hAnsi="PT Serif" w:cs="Times New Roman"/>
            <w:color w:val="00A3D9"/>
            <w:kern w:val="0"/>
            <w:sz w:val="30"/>
            <w:szCs w:val="30"/>
            <w:u w:val="single"/>
          </w:rPr>
          <w:t>Видео по теме</w:t>
        </w:r>
      </w:hyperlink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b/>
          <w:bCs/>
          <w:color w:val="242F33"/>
          <w:kern w:val="0"/>
          <w:sz w:val="30"/>
          <w:szCs w:val="30"/>
        </w:rPr>
        <w:t>Общее: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1. Если не знаешь, что будешь писать, не садись писать. 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2. Формы для бабушек. Использование форм запрещено. Иначе форма сделает вас, перекочевав своей глупостью в ваш итоговый документ.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3. В иске необходимо внести ясность относительно лиц. Например, речь идет о соотношении "Иванова", "Ответчика", "Заемщика". Чтобы исключить недопонимания, в иске нужно сделать следующее: "Иванов (далее – Заемщик (или ответчик))". И далее по тексту использовать именно это слово.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4. Нежелательны обороты типа "как известно", "Итак" и т.д. В фактологии перечисляем сразу факты. И только факты. Без предыстории и краси</w:t>
      </w:r>
      <w:r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вых оборотов</w:t>
      </w:r>
      <w:bookmarkStart w:id="0" w:name="_GoBack"/>
      <w:bookmarkEnd w:id="0"/>
      <w:r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 xml:space="preserve"> и лирики</w:t>
      </w: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lastRenderedPageBreak/>
        <w:t>5. Обороты, цепляющиеся за обороты, делают текст трудночитаемым. Поэтому стремись использовать простые предложения. А для этого чаще ставь точки вместо запятых.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6. Если строго, то Истец не склоняется. Института Истицы в праве нет. Хотя часто склоняют и в этом видимо нет существенного нарушения.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7. Цитату статьи кавычками обособлять можно, но, кажется, так никто не делает.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8. Если суммы большие и сложные, то в скобках следует давать расшифровку для исключения рассогласований.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bookmarkStart w:id="1" w:name="cutid1"/>
      <w:bookmarkEnd w:id="1"/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9. Требования формулировать предельно точно и языком права. Да и в целом следует пользоваться конструкциями, взятыми из конструкций норм (то есть без слов "взял взаймы", "взял в долг" и т.д.).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10. Если иск подписывается и подаётся тобой как представителем, копию доверенности приложить не забудь.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11. Орфографически всё должно быть чисто.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12. И важно помнить, что логика и хронология анализа дела не совпадает с логикой и формой изложения позиции в документе. Поэтому сначала следует проанализировать, затем решить, как именно ты изложишь результаты на бумаге, и только потом садиться писать.  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b/>
          <w:bCs/>
          <w:color w:val="242F33"/>
          <w:kern w:val="0"/>
          <w:sz w:val="30"/>
          <w:szCs w:val="30"/>
        </w:rPr>
        <w:t>О шапке: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13. Внимательно с подсудностью. Клиент не должен подумать «Если он не знает, в какой суд обращаться, то как он может знать, как это дело должно быть выиграно???»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lastRenderedPageBreak/>
        <w:t>14. В шапке "В Кировский районный суд г. Красноярска". Никаких "кому" и "от кого" как на конвертах. И конечно никаких "Суду", если речь идёт о федеральном суде.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b/>
          <w:bCs/>
          <w:color w:val="242F33"/>
          <w:kern w:val="0"/>
          <w:sz w:val="30"/>
          <w:szCs w:val="30"/>
        </w:rPr>
        <w:t>О фактической стороне дела: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15. Содержание иска - </w:t>
      </w:r>
      <w:hyperlink r:id="rId8" w:tgtFrame="_self" w:history="1">
        <w:r w:rsidRPr="006B358F">
          <w:rPr>
            <w:rFonts w:ascii="PT Serif" w:eastAsia="Times New Roman" w:hAnsi="PT Serif" w:cs="Times New Roman"/>
            <w:color w:val="00A3D9"/>
            <w:kern w:val="0"/>
            <w:sz w:val="30"/>
            <w:szCs w:val="30"/>
            <w:u w:val="single"/>
          </w:rPr>
          <w:t>позиция по делу</w:t>
        </w:r>
      </w:hyperlink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. Основывайся на этом, а не на чём-то другом. Ничего нельзя упустить. А также в документе не должно быть ничего лишнего. 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16. Указывайте в иске именно те факты, которые вы собираетесь доказывать. И не указывайте те, что к делу не относятся. Ни больше ни меньше.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17. При формулировании фактической стороны дела ссылка на доказательства по закону обязательна и по технике работы очень желательна. Потому что от представления доказательств твоего факта тебе всегда только польза.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18. На момент подачи иска свидетеля и показаний ещё нет. Они будут в суде. Поэтому в иске использовать фразу "свидетель подтверждает" некорректно. Корректно "может подтвердить" или категорично "подтвердит". В том числе и по этой причине нельзя свидетеля приложить в приложение.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b/>
          <w:bCs/>
          <w:color w:val="242F33"/>
          <w:kern w:val="0"/>
          <w:sz w:val="30"/>
          <w:szCs w:val="30"/>
        </w:rPr>
        <w:t>О правовом обосновании: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19. Необходимо развернуть правовое обоснование: показать алгоритм рассуждений и вывод, который следует как результат правовой квалификации. Таким образом судья, изучив этот ход мыслей, должен быть убежден в наличии правового основания изложенной позиции.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20. Не нужно забывать указывать нарушенное право, в защиту которого подаётся иск.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b/>
          <w:bCs/>
          <w:color w:val="242F33"/>
          <w:kern w:val="0"/>
          <w:sz w:val="30"/>
          <w:szCs w:val="30"/>
        </w:rPr>
        <w:t>Об исковых требованиях: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lastRenderedPageBreak/>
        <w:t>21. Государственная пошлина - судебный расход и в сумму исковых требований не входит. Сложить исковые требования и судебные расходы нельзя.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22. Если вы взыскиваете проценты, то они должны быть рассчитаны (судья не будет считать за Вас) и обоснованы приложенным к иску расчётом, как того требует ГПК.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b/>
          <w:bCs/>
          <w:color w:val="242F33"/>
          <w:kern w:val="0"/>
          <w:sz w:val="30"/>
          <w:szCs w:val="30"/>
        </w:rPr>
        <w:t>О судебных расходах: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23. Всегда есть смысл проверять, не освобождается ли клиент от уплаты государственной пошлины. И даже если не освобождается, нет ли законных оснований изменить её размер, или сделать что-то еще.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24. Указание на ст. 98 ГПК РФ (распределение судебных расходов между сторонами). Судья должен распределить судебные расходы сам, поэтому с юридической точки зрения указание на ст.98 ГПК РФ в иске не является необходимым. При этом тактически можно "напомнить" об этом суду в исковом заявлении. Некоторые так делают.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25. При этом нужно помнить, что из общего правила о судебных расходах выпадает ст. 100 ГПК РФ. Расходы на оплату услуг представителя присуждаются на основе письменного ходатайства стороны. Которое конечно же должно быть обоснованным.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b/>
          <w:bCs/>
          <w:color w:val="242F33"/>
          <w:kern w:val="0"/>
          <w:sz w:val="30"/>
          <w:szCs w:val="30"/>
        </w:rPr>
        <w:t>О ходатайствах: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26. Ходатайства могут быть изложены в иске. Сама просьба пишется после «Прошу». А где-то до этого должно быть представлено обоснование.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27. Большие ходатайства может быть есть смысл заявлять отдельным документом.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lastRenderedPageBreak/>
        <w:t>28. Ходатайство как отдельный документ – еще и самостоятельное доказательство того, что ходатайство заявлялось. Что может пригодится при обжаловании.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b/>
          <w:bCs/>
          <w:color w:val="242F33"/>
          <w:kern w:val="0"/>
          <w:sz w:val="30"/>
          <w:szCs w:val="30"/>
        </w:rPr>
        <w:t>И в самом конце: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Перечитай документ. А лучше вычитай. Положи рядом кодекс и проверь, всем ли требованиям закона соответствует твой документ.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b/>
          <w:bCs/>
          <w:color w:val="242F33"/>
          <w:kern w:val="0"/>
          <w:sz w:val="30"/>
          <w:szCs w:val="30"/>
        </w:rPr>
        <w:t>И самое главное: 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after="300"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Всякий раз нужно ориентироваться на читателя. А Ваш главный читатель в данном случае судья. Судью следует уважать. Особенно, если и сам претендуешь на уважительное отношение к себе. Потому и документ, подаваемый в суд, должен быть соответствующим.</w:t>
      </w:r>
    </w:p>
    <w:p w:rsidR="006B358F" w:rsidRPr="006B358F" w:rsidRDefault="006B358F" w:rsidP="006B358F">
      <w:pPr>
        <w:widowControl/>
        <w:shd w:val="clear" w:color="auto" w:fill="FFFFFF"/>
        <w:suppressAutoHyphens w:val="0"/>
        <w:autoSpaceDN/>
        <w:spacing w:line="420" w:lineRule="atLeast"/>
        <w:textAlignment w:val="auto"/>
        <w:rPr>
          <w:rFonts w:ascii="PT Serif" w:eastAsia="Times New Roman" w:hAnsi="PT Serif" w:cs="Times New Roman"/>
          <w:color w:val="242F33"/>
          <w:kern w:val="0"/>
          <w:sz w:val="30"/>
          <w:szCs w:val="30"/>
        </w:rPr>
      </w:pPr>
      <w:r w:rsidRPr="006B358F">
        <w:rPr>
          <w:rFonts w:ascii="PT Serif" w:eastAsia="Times New Roman" w:hAnsi="PT Serif" w:cs="Times New Roman"/>
          <w:color w:val="242F33"/>
          <w:kern w:val="0"/>
          <w:sz w:val="30"/>
          <w:szCs w:val="30"/>
        </w:rPr>
        <w:t>upd. 24.01.2018.</w:t>
      </w:r>
    </w:p>
    <w:p w:rsidR="006B358F" w:rsidRPr="006B358F" w:rsidRDefault="006B358F" w:rsidP="006B358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2" w:name="cutid1-end"/>
      <w:bookmarkEnd w:id="2"/>
    </w:p>
    <w:p w:rsidR="00F54FDF" w:rsidRPr="006B358F" w:rsidRDefault="007071C4" w:rsidP="006B358F">
      <w:pPr>
        <w:rPr>
          <w:rFonts w:ascii="Times New Roman" w:hAnsi="Times New Roman" w:cs="Times New Roman"/>
          <w:sz w:val="28"/>
          <w:szCs w:val="28"/>
        </w:rPr>
      </w:pPr>
      <w:r w:rsidRPr="006B35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4FDF" w:rsidRPr="006B358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88E" w:rsidRDefault="005D488E">
      <w:pPr>
        <w:spacing w:after="0" w:line="240" w:lineRule="auto"/>
      </w:pPr>
      <w:r>
        <w:separator/>
      </w:r>
    </w:p>
  </w:endnote>
  <w:endnote w:type="continuationSeparator" w:id="0">
    <w:p w:rsidR="005D488E" w:rsidRDefault="005D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altName w:val="Arial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88E" w:rsidRDefault="005D48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488E" w:rsidRDefault="005D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4678"/>
    <w:multiLevelType w:val="multilevel"/>
    <w:tmpl w:val="67047672"/>
    <w:styleLink w:val="WWNum2"/>
    <w:lvl w:ilvl="0">
      <w:start w:val="1"/>
      <w:numFmt w:val="decimal"/>
      <w:lvlText w:val="Статья %1"/>
      <w:lvlJc w:val="left"/>
      <w:pPr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" w15:restartNumberingAfterBreak="0">
    <w:nsid w:val="1D33530E"/>
    <w:multiLevelType w:val="multilevel"/>
    <w:tmpl w:val="21727534"/>
    <w:lvl w:ilvl="0">
      <w:start w:val="1"/>
      <w:numFmt w:val="decimal"/>
      <w:lvlText w:val="Статья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E543EE"/>
    <w:multiLevelType w:val="multilevel"/>
    <w:tmpl w:val="8786A9A2"/>
    <w:lvl w:ilvl="0">
      <w:start w:val="3"/>
      <w:numFmt w:val="decimal"/>
      <w:lvlText w:val="Статья 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DB7700F"/>
    <w:multiLevelType w:val="multilevel"/>
    <w:tmpl w:val="A20671B8"/>
    <w:styleLink w:val="WWNum6"/>
    <w:lvl w:ilvl="0">
      <w:start w:val="1"/>
      <w:numFmt w:val="decimal"/>
      <w:lvlText w:val="Статья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64237FA"/>
    <w:multiLevelType w:val="multilevel"/>
    <w:tmpl w:val="564C2CC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FE619BB"/>
    <w:multiLevelType w:val="multilevel"/>
    <w:tmpl w:val="900A6936"/>
    <w:styleLink w:val="WWNum3"/>
    <w:lvl w:ilvl="0">
      <w:start w:val="1"/>
      <w:numFmt w:val="decimal"/>
      <w:lvlText w:val="Статья %1"/>
      <w:lvlJc w:val="left"/>
      <w:pPr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4F983294"/>
    <w:multiLevelType w:val="multilevel"/>
    <w:tmpl w:val="234CA3C6"/>
    <w:styleLink w:val="WWNum4"/>
    <w:lvl w:ilvl="0">
      <w:start w:val="1"/>
      <w:numFmt w:val="decimal"/>
      <w:lvlText w:val="Статья %1"/>
      <w:lvlJc w:val="left"/>
      <w:pPr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7" w15:restartNumberingAfterBreak="0">
    <w:nsid w:val="5F103360"/>
    <w:multiLevelType w:val="multilevel"/>
    <w:tmpl w:val="55506B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4FDF"/>
    <w:rsid w:val="002B2CEC"/>
    <w:rsid w:val="005D488E"/>
    <w:rsid w:val="006B358F"/>
    <w:rsid w:val="007071C4"/>
    <w:rsid w:val="00881570"/>
    <w:rsid w:val="00C36D14"/>
    <w:rsid w:val="00D573F3"/>
    <w:rsid w:val="00DE4C9F"/>
    <w:rsid w:val="00F52C35"/>
    <w:rsid w:val="00F54FDF"/>
    <w:rsid w:val="00F6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D811C"/>
  <w15:docId w15:val="{9E51AB47-52F0-6F4F-802D-55DECBF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6B358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a">
    <w:name w:val="Текст примечания Знак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a0">
    <w:name w:val="Тема примечания Знак"/>
    <w:basedOn w:val="a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B35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entry-posttitle-text">
    <w:name w:val="aentry-post__title-text"/>
    <w:basedOn w:val="DefaultParagraphFont"/>
    <w:rsid w:val="006B358F"/>
  </w:style>
  <w:style w:type="paragraph" w:styleId="NormalWeb">
    <w:name w:val="Normal (Web)"/>
    <w:basedOn w:val="Normal"/>
    <w:uiPriority w:val="99"/>
    <w:semiHidden/>
    <w:unhideWhenUsed/>
    <w:rsid w:val="006B358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B35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8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S3YdQ8jij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mtAXBXAV7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 Короткевич</cp:lastModifiedBy>
  <cp:revision>2</cp:revision>
  <dcterms:created xsi:type="dcterms:W3CDTF">2018-04-27T21:21:00Z</dcterms:created>
  <dcterms:modified xsi:type="dcterms:W3CDTF">2018-04-27T21:21:00Z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