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16" w:rsidRPr="00580934" w:rsidRDefault="009C6916" w:rsidP="009C6916">
      <w:pPr>
        <w:pStyle w:val="Style19"/>
        <w:widowControl/>
        <w:spacing w:line="312" w:lineRule="auto"/>
        <w:ind w:firstLine="567"/>
        <w:jc w:val="center"/>
        <w:rPr>
          <w:b/>
          <w:caps/>
          <w:sz w:val="28"/>
          <w:szCs w:val="28"/>
        </w:rPr>
      </w:pPr>
      <w:r w:rsidRPr="00580934">
        <w:rPr>
          <w:b/>
          <w:caps/>
          <w:sz w:val="28"/>
          <w:szCs w:val="28"/>
        </w:rPr>
        <w:t>ЮРИДИЧЕСКАЯ КЛИНИКА В ПЕДАГОГИЧЕСКОМ ВУЗЕ: ЭКСПЕРИМЕНТ, РЕАЛЬНОСТЬ И ПЕРСПЕКТИВЫ</w:t>
      </w:r>
    </w:p>
    <w:p w:rsidR="009C6916" w:rsidRPr="00580934" w:rsidRDefault="009C6916" w:rsidP="009C6916">
      <w:pPr>
        <w:spacing w:after="0" w:line="312" w:lineRule="auto"/>
        <w:ind w:firstLine="567"/>
        <w:jc w:val="both"/>
        <w:rPr>
          <w:rFonts w:ascii="Times New Roman" w:hAnsi="Times New Roman"/>
          <w:b/>
          <w:caps/>
          <w:color w:val="323232"/>
          <w:sz w:val="28"/>
          <w:szCs w:val="28"/>
        </w:rPr>
      </w:pPr>
    </w:p>
    <w:p w:rsidR="009C6916" w:rsidRDefault="009C6916" w:rsidP="009C6916">
      <w:pPr>
        <w:widowControl w:val="0"/>
        <w:spacing w:after="0" w:line="312" w:lineRule="auto"/>
        <w:ind w:firstLine="3969"/>
        <w:jc w:val="both"/>
        <w:rPr>
          <w:rFonts w:ascii="Times New Roman" w:hAnsi="Times New Roman"/>
          <w:b/>
          <w:sz w:val="28"/>
          <w:szCs w:val="28"/>
        </w:rPr>
      </w:pPr>
      <w:r w:rsidRPr="00580934">
        <w:rPr>
          <w:rFonts w:ascii="Times New Roman" w:hAnsi="Times New Roman"/>
          <w:b/>
          <w:sz w:val="28"/>
          <w:szCs w:val="28"/>
        </w:rPr>
        <w:t>Соколова</w:t>
      </w:r>
      <w:r w:rsidRPr="00B02E1E">
        <w:rPr>
          <w:rFonts w:ascii="Times New Roman" w:hAnsi="Times New Roman"/>
          <w:b/>
          <w:sz w:val="28"/>
          <w:szCs w:val="28"/>
        </w:rPr>
        <w:t xml:space="preserve"> </w:t>
      </w:r>
      <w:r w:rsidRPr="00580934">
        <w:rPr>
          <w:rFonts w:ascii="Times New Roman" w:hAnsi="Times New Roman"/>
          <w:b/>
          <w:sz w:val="28"/>
          <w:szCs w:val="28"/>
        </w:rPr>
        <w:t>Н</w:t>
      </w:r>
      <w:r>
        <w:rPr>
          <w:rFonts w:ascii="Times New Roman" w:hAnsi="Times New Roman"/>
          <w:b/>
          <w:sz w:val="28"/>
          <w:szCs w:val="28"/>
        </w:rPr>
        <w:t xml:space="preserve">адежда </w:t>
      </w:r>
      <w:r w:rsidRPr="00580934">
        <w:rPr>
          <w:rFonts w:ascii="Times New Roman" w:hAnsi="Times New Roman"/>
          <w:b/>
          <w:sz w:val="28"/>
          <w:szCs w:val="28"/>
        </w:rPr>
        <w:t>В</w:t>
      </w:r>
      <w:r>
        <w:rPr>
          <w:rFonts w:ascii="Times New Roman" w:hAnsi="Times New Roman"/>
          <w:b/>
          <w:sz w:val="28"/>
          <w:szCs w:val="28"/>
        </w:rPr>
        <w:t>икторовна</w:t>
      </w:r>
      <w:r w:rsidRPr="00580934">
        <w:rPr>
          <w:rFonts w:ascii="Times New Roman" w:hAnsi="Times New Roman"/>
          <w:sz w:val="28"/>
          <w:szCs w:val="28"/>
        </w:rPr>
        <w:t>,</w:t>
      </w:r>
      <w:r w:rsidRPr="00580934">
        <w:rPr>
          <w:rFonts w:ascii="Times New Roman" w:hAnsi="Times New Roman"/>
          <w:b/>
          <w:sz w:val="28"/>
          <w:szCs w:val="28"/>
        </w:rPr>
        <w:t xml:space="preserve"> </w:t>
      </w:r>
    </w:p>
    <w:p w:rsidR="009C6916" w:rsidRDefault="009C6916" w:rsidP="009C6916">
      <w:pPr>
        <w:widowControl w:val="0"/>
        <w:spacing w:after="0" w:line="312" w:lineRule="auto"/>
        <w:ind w:firstLine="3969"/>
        <w:jc w:val="both"/>
        <w:rPr>
          <w:rFonts w:ascii="Times New Roman" w:hAnsi="Times New Roman"/>
          <w:sz w:val="28"/>
          <w:szCs w:val="28"/>
        </w:rPr>
      </w:pPr>
      <w:r w:rsidRPr="00580934">
        <w:rPr>
          <w:rFonts w:ascii="Times New Roman" w:hAnsi="Times New Roman"/>
          <w:sz w:val="28"/>
          <w:szCs w:val="28"/>
        </w:rPr>
        <w:t>канд.</w:t>
      </w:r>
      <w:r>
        <w:rPr>
          <w:rFonts w:ascii="Times New Roman" w:hAnsi="Times New Roman"/>
          <w:sz w:val="28"/>
          <w:szCs w:val="28"/>
        </w:rPr>
        <w:t xml:space="preserve"> </w:t>
      </w:r>
      <w:r w:rsidRPr="00580934">
        <w:rPr>
          <w:rFonts w:ascii="Times New Roman" w:hAnsi="Times New Roman"/>
          <w:sz w:val="28"/>
          <w:szCs w:val="28"/>
        </w:rPr>
        <w:t>юрид.</w:t>
      </w:r>
      <w:r>
        <w:rPr>
          <w:rFonts w:ascii="Times New Roman" w:hAnsi="Times New Roman"/>
          <w:sz w:val="28"/>
          <w:szCs w:val="28"/>
        </w:rPr>
        <w:t xml:space="preserve"> </w:t>
      </w:r>
      <w:r w:rsidRPr="00580934">
        <w:rPr>
          <w:rFonts w:ascii="Times New Roman" w:hAnsi="Times New Roman"/>
          <w:sz w:val="28"/>
          <w:szCs w:val="28"/>
        </w:rPr>
        <w:t>наук</w:t>
      </w:r>
      <w:r>
        <w:rPr>
          <w:rFonts w:ascii="Times New Roman" w:hAnsi="Times New Roman"/>
          <w:sz w:val="28"/>
          <w:szCs w:val="28"/>
        </w:rPr>
        <w:t>,</w:t>
      </w:r>
      <w:r w:rsidRPr="00580934">
        <w:rPr>
          <w:rFonts w:ascii="Times New Roman" w:hAnsi="Times New Roman"/>
          <w:b/>
          <w:sz w:val="28"/>
          <w:szCs w:val="28"/>
        </w:rPr>
        <w:t xml:space="preserve"> </w:t>
      </w:r>
      <w:r w:rsidRPr="00580934">
        <w:rPr>
          <w:rFonts w:ascii="Times New Roman" w:hAnsi="Times New Roman"/>
          <w:sz w:val="28"/>
          <w:szCs w:val="28"/>
        </w:rPr>
        <w:t xml:space="preserve">филиал </w:t>
      </w:r>
    </w:p>
    <w:p w:rsidR="009C6916" w:rsidRPr="00580934" w:rsidRDefault="009C6916" w:rsidP="009C6916">
      <w:pPr>
        <w:widowControl w:val="0"/>
        <w:spacing w:after="0" w:line="312" w:lineRule="auto"/>
        <w:ind w:firstLine="3969"/>
        <w:jc w:val="both"/>
        <w:rPr>
          <w:rFonts w:ascii="Times New Roman" w:hAnsi="Times New Roman"/>
          <w:sz w:val="28"/>
          <w:szCs w:val="28"/>
        </w:rPr>
      </w:pPr>
      <w:r w:rsidRPr="00580934">
        <w:rPr>
          <w:rFonts w:ascii="Times New Roman" w:hAnsi="Times New Roman"/>
          <w:sz w:val="28"/>
          <w:szCs w:val="28"/>
        </w:rPr>
        <w:t xml:space="preserve">ФГБОУ ВПО “ТюмГУ” в г. Шадринске, </w:t>
      </w:r>
    </w:p>
    <w:p w:rsidR="009C6916" w:rsidRPr="00580934" w:rsidRDefault="009C6916" w:rsidP="009C6916">
      <w:pPr>
        <w:widowControl w:val="0"/>
        <w:spacing w:after="0" w:line="312" w:lineRule="auto"/>
        <w:ind w:firstLine="3969"/>
        <w:jc w:val="both"/>
        <w:rPr>
          <w:rFonts w:ascii="Times New Roman" w:hAnsi="Times New Roman"/>
          <w:sz w:val="28"/>
          <w:szCs w:val="28"/>
        </w:rPr>
      </w:pPr>
      <w:r w:rsidRPr="00580934">
        <w:rPr>
          <w:rFonts w:ascii="Times New Roman" w:hAnsi="Times New Roman"/>
          <w:sz w:val="28"/>
          <w:szCs w:val="28"/>
        </w:rPr>
        <w:t>г. Шадринск</w:t>
      </w:r>
    </w:p>
    <w:p w:rsidR="009C6916" w:rsidRPr="00580934" w:rsidRDefault="009C6916" w:rsidP="009C6916">
      <w:pPr>
        <w:spacing w:after="0" w:line="312" w:lineRule="auto"/>
        <w:ind w:firstLine="567"/>
        <w:jc w:val="both"/>
        <w:rPr>
          <w:rFonts w:ascii="Times New Roman" w:hAnsi="Times New Roman"/>
          <w:sz w:val="28"/>
          <w:szCs w:val="28"/>
        </w:rPr>
      </w:pPr>
    </w:p>
    <w:p w:rsidR="009C6916" w:rsidRPr="00580934" w:rsidRDefault="009C6916" w:rsidP="009C6916">
      <w:pPr>
        <w:pStyle w:val="a8"/>
        <w:spacing w:after="0" w:line="312" w:lineRule="auto"/>
        <w:ind w:firstLine="567"/>
        <w:jc w:val="both"/>
        <w:rPr>
          <w:sz w:val="28"/>
          <w:szCs w:val="28"/>
        </w:rPr>
      </w:pPr>
      <w:r w:rsidRPr="00580934">
        <w:rPr>
          <w:sz w:val="28"/>
          <w:szCs w:val="28"/>
        </w:rPr>
        <w:t>3 декабря 2008 года в Россия впервые праздновала “День юриста”, а на факультете истории и права старейшего вуза Зауралья – “Шадринском государственном педагогическом институте” вместе с ним открывали совершенно необычный для педагогического вуза социальный проект -“Юридическую клинику”. Казалось, что это не только чрезвычайно сложно, но и просто невозможно… Но сомнения так и остались в прошлом, эксперимент удался и клиника живёт по настоящее время! И не просто существует, а очень активно работает, являясь одной из двух юридических клиник в педагогических вузах, присоединившихся к Автономной некоммерческой организации “Центр развития юридических клиник” – ресурсному проекту, инициированному Студенческими консультациями юридического факультета МГУ имени М.В. Ломоносова и Студенческим консультативным бюро Российского Университета дружбы народов</w:t>
      </w:r>
      <w:r w:rsidRPr="00580934">
        <w:rPr>
          <w:rStyle w:val="a5"/>
          <w:sz w:val="28"/>
          <w:szCs w:val="28"/>
        </w:rPr>
        <w:footnoteReference w:id="2"/>
      </w:r>
      <w:r w:rsidRPr="00580934">
        <w:rPr>
          <w:sz w:val="28"/>
          <w:szCs w:val="28"/>
        </w:rPr>
        <w:t xml:space="preserve">. Кроме того, работая в рамках Центра правовой и профилактической помощи несовершеннолетним и их родителям, “Юридическая клиника” ФГБОУ ВПО “Шадринский государственный педагогический институт”, зарегистрирована также в качестве члена </w:t>
      </w:r>
      <w:r w:rsidRPr="00580934">
        <w:rPr>
          <w:color w:val="000000"/>
          <w:sz w:val="28"/>
          <w:szCs w:val="28"/>
          <w:shd w:val="clear" w:color="auto" w:fill="FFFFFF"/>
        </w:rPr>
        <w:t>Международной сети по правам ребёнка (CRIN), находящейся в Лондоне (Великобритания)</w:t>
      </w:r>
      <w:r w:rsidRPr="00580934">
        <w:rPr>
          <w:sz w:val="28"/>
          <w:szCs w:val="28"/>
        </w:rPr>
        <w:t xml:space="preserve"> и является участником </w:t>
      </w:r>
      <w:r w:rsidRPr="00580934">
        <w:rPr>
          <w:caps/>
          <w:sz w:val="28"/>
          <w:szCs w:val="28"/>
        </w:rPr>
        <w:t>Сети</w:t>
      </w:r>
      <w:r w:rsidRPr="00580934">
        <w:rPr>
          <w:sz w:val="28"/>
          <w:szCs w:val="28"/>
        </w:rPr>
        <w:t xml:space="preserve"> Правовых Клиник, развиваемой Московской Хельсинской Группой (МХГ) (при поддержке USAID) при участии Международной Сети – Молодёжное Правозащитное Движение (МПД).</w:t>
      </w:r>
    </w:p>
    <w:p w:rsidR="009C6916" w:rsidRPr="00580934" w:rsidRDefault="009C6916" w:rsidP="009C6916">
      <w:pPr>
        <w:pStyle w:val="a6"/>
        <w:shd w:val="clear" w:color="auto" w:fill="FFFFFF"/>
        <w:spacing w:before="0" w:beforeAutospacing="0" w:after="0" w:afterAutospacing="0" w:line="312" w:lineRule="auto"/>
        <w:ind w:firstLine="567"/>
        <w:jc w:val="both"/>
        <w:rPr>
          <w:sz w:val="28"/>
          <w:szCs w:val="28"/>
        </w:rPr>
      </w:pPr>
      <w:r w:rsidRPr="00580934">
        <w:rPr>
          <w:sz w:val="28"/>
          <w:szCs w:val="28"/>
        </w:rPr>
        <w:t>За прошедшие пять лет активной работы “Юридической клиники” факультета истории и права “ШГПИ”</w:t>
      </w:r>
      <w:r w:rsidRPr="008E3F4D">
        <w:rPr>
          <w:b/>
          <w:sz w:val="28"/>
          <w:szCs w:val="28"/>
        </w:rPr>
        <w:t xml:space="preserve"> </w:t>
      </w:r>
      <w:r>
        <w:rPr>
          <w:b/>
          <w:sz w:val="28"/>
          <w:szCs w:val="28"/>
        </w:rPr>
        <w:t>(</w:t>
      </w:r>
      <w:r w:rsidRPr="008E3F4D">
        <w:rPr>
          <w:sz w:val="28"/>
          <w:szCs w:val="28"/>
        </w:rPr>
        <w:t>с 3 декабря 2008 года по 1 сентября 2013 года</w:t>
      </w:r>
      <w:r>
        <w:rPr>
          <w:sz w:val="28"/>
          <w:szCs w:val="28"/>
        </w:rPr>
        <w:t xml:space="preserve">) </w:t>
      </w:r>
      <w:r w:rsidRPr="00580934">
        <w:rPr>
          <w:sz w:val="28"/>
          <w:szCs w:val="28"/>
        </w:rPr>
        <w:t>сделано очень многое, а её результаты отражены в таблице № 1</w:t>
      </w:r>
      <w:r>
        <w:rPr>
          <w:sz w:val="28"/>
          <w:szCs w:val="28"/>
        </w:rPr>
        <w:t>:</w:t>
      </w:r>
      <w:r w:rsidRPr="00580934">
        <w:rPr>
          <w:sz w:val="28"/>
          <w:szCs w:val="28"/>
        </w:rPr>
        <w:t xml:space="preserve"> </w:t>
      </w:r>
    </w:p>
    <w:p w:rsidR="009C6916" w:rsidRPr="00B02E1E" w:rsidRDefault="009C6916" w:rsidP="009C6916">
      <w:pPr>
        <w:pStyle w:val="a6"/>
        <w:shd w:val="clear" w:color="auto" w:fill="FFFFFF"/>
        <w:spacing w:before="0" w:beforeAutospacing="0" w:after="0" w:afterAutospacing="0" w:line="312" w:lineRule="auto"/>
        <w:ind w:firstLine="567"/>
        <w:jc w:val="center"/>
        <w:rPr>
          <w:b/>
          <w:sz w:val="28"/>
          <w:szCs w:val="28"/>
        </w:rPr>
      </w:pPr>
      <w:r w:rsidRPr="00B02E1E">
        <w:rPr>
          <w:b/>
          <w:sz w:val="28"/>
          <w:szCs w:val="28"/>
        </w:rPr>
        <w:t xml:space="preserve">Данные о работе “Юридической клиники” “ШГПИ”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3"/>
        <w:gridCol w:w="1101"/>
        <w:gridCol w:w="1101"/>
        <w:gridCol w:w="1101"/>
        <w:gridCol w:w="1101"/>
        <w:gridCol w:w="1101"/>
        <w:gridCol w:w="1523"/>
      </w:tblGrid>
      <w:tr w:rsidR="009C6916" w:rsidRPr="00641105" w:rsidTr="00F53B11">
        <w:trPr>
          <w:trHeight w:val="184"/>
        </w:trPr>
        <w:tc>
          <w:tcPr>
            <w:tcW w:w="2753" w:type="dxa"/>
          </w:tcPr>
          <w:p w:rsidR="009C6916" w:rsidRPr="00641105" w:rsidRDefault="009C6916" w:rsidP="00F53B11">
            <w:pPr>
              <w:spacing w:after="0" w:line="312" w:lineRule="auto"/>
              <w:rPr>
                <w:rFonts w:ascii="Times New Roman" w:hAnsi="Times New Roman"/>
                <w:sz w:val="24"/>
                <w:szCs w:val="24"/>
              </w:rPr>
            </w:pP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2008-2009 уч.год</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2009-2010 уч.год</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2010-2011 уч.год</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2011-2012 уч.год</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2012-2013 уч.год</w:t>
            </w:r>
          </w:p>
        </w:tc>
        <w:tc>
          <w:tcPr>
            <w:tcW w:w="152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За весь период работы ЮК (на 1.09.2013 г.)</w:t>
            </w:r>
          </w:p>
        </w:tc>
      </w:tr>
      <w:tr w:rsidR="009C6916" w:rsidRPr="00641105" w:rsidTr="00F53B11">
        <w:trPr>
          <w:trHeight w:val="184"/>
        </w:trPr>
        <w:tc>
          <w:tcPr>
            <w:tcW w:w="275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Принято клиентов</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136</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160</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117</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79</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55</w:t>
            </w:r>
          </w:p>
        </w:tc>
        <w:tc>
          <w:tcPr>
            <w:tcW w:w="152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547</w:t>
            </w:r>
          </w:p>
        </w:tc>
      </w:tr>
      <w:tr w:rsidR="009C6916" w:rsidRPr="00641105" w:rsidTr="00F53B11">
        <w:trPr>
          <w:trHeight w:val="184"/>
        </w:trPr>
        <w:tc>
          <w:tcPr>
            <w:tcW w:w="275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Составлено различных письменных документов</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135</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243</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97</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98</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61</w:t>
            </w:r>
          </w:p>
        </w:tc>
        <w:tc>
          <w:tcPr>
            <w:tcW w:w="152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634</w:t>
            </w:r>
          </w:p>
        </w:tc>
      </w:tr>
      <w:tr w:rsidR="009C6916" w:rsidRPr="00641105" w:rsidTr="00F53B11">
        <w:trPr>
          <w:trHeight w:val="184"/>
        </w:trPr>
        <w:tc>
          <w:tcPr>
            <w:tcW w:w="275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Клиентами поставлены вопросы по различным отраслям права</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174 </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204 </w:t>
            </w:r>
          </w:p>
          <w:p w:rsidR="009C6916" w:rsidRPr="00641105" w:rsidRDefault="009C6916" w:rsidP="00F53B11">
            <w:pPr>
              <w:spacing w:after="0" w:line="312" w:lineRule="auto"/>
              <w:rPr>
                <w:rFonts w:ascii="Times New Roman" w:hAnsi="Times New Roman"/>
                <w:sz w:val="24"/>
                <w:szCs w:val="24"/>
              </w:rPr>
            </w:pP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167 </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157 </w:t>
            </w:r>
          </w:p>
        </w:tc>
        <w:tc>
          <w:tcPr>
            <w:tcW w:w="110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121</w:t>
            </w:r>
          </w:p>
        </w:tc>
        <w:tc>
          <w:tcPr>
            <w:tcW w:w="152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823 </w:t>
            </w:r>
          </w:p>
        </w:tc>
      </w:tr>
    </w:tbl>
    <w:p w:rsidR="009C6916" w:rsidRPr="00580934" w:rsidRDefault="009C6916" w:rsidP="009C6916">
      <w:pPr>
        <w:spacing w:after="0" w:line="312" w:lineRule="auto"/>
        <w:ind w:firstLine="567"/>
        <w:jc w:val="both"/>
        <w:rPr>
          <w:rFonts w:ascii="Times New Roman" w:hAnsi="Times New Roman"/>
          <w:sz w:val="28"/>
          <w:szCs w:val="28"/>
        </w:rPr>
      </w:pPr>
      <w:r>
        <w:rPr>
          <w:rFonts w:ascii="Times New Roman" w:hAnsi="Times New Roman"/>
          <w:sz w:val="28"/>
          <w:szCs w:val="28"/>
        </w:rPr>
        <w:t>Указанные</w:t>
      </w:r>
      <w:r w:rsidRPr="00580934">
        <w:rPr>
          <w:rFonts w:ascii="Times New Roman" w:hAnsi="Times New Roman"/>
          <w:sz w:val="28"/>
          <w:szCs w:val="28"/>
        </w:rPr>
        <w:t xml:space="preserve"> выше данные могут привести к ошибочному выводу о неуклонном снижении как количества принятых студентами клиники клиентов, так и объёма оказанной им юридической помощи в абсолютных цифрах. Однако</w:t>
      </w:r>
      <w:r>
        <w:rPr>
          <w:rFonts w:ascii="Times New Roman" w:hAnsi="Times New Roman"/>
          <w:sz w:val="28"/>
          <w:szCs w:val="28"/>
        </w:rPr>
        <w:t>,</w:t>
      </w:r>
      <w:r w:rsidRPr="00580934">
        <w:rPr>
          <w:rFonts w:ascii="Times New Roman" w:hAnsi="Times New Roman"/>
          <w:sz w:val="28"/>
          <w:szCs w:val="28"/>
        </w:rPr>
        <w:t xml:space="preserve"> более внимательный анализ всех сторон деятельности клиники с учётом количества дней приёма в течение учебного года, позволяет сделать совершенно другой вывод – несмотря на снижение дней реальной работы клиницистов, в которые осуществлялся приём граждан студентами (таблица 2), объём оказанной ими юридической помощи не только не снижается, но и, более того, находится на более высоком уровне по сравнению с годами, когда приём осуществлялся по графику приёма дважды в неделю (лишь в 2009 – 2010 учебном году для руководства “Юридической клиникой” администрацией вуза выделялась полная преподавательская ставка, всё остальное время оплата производится исходя из 200 часов, выделенных в учебной программе факультета истории и права на работу факультативов) (таблица 3)</w:t>
      </w:r>
    </w:p>
    <w:p w:rsidR="009C6916" w:rsidRPr="00580934" w:rsidRDefault="009C6916" w:rsidP="009C6916">
      <w:pPr>
        <w:pStyle w:val="a6"/>
        <w:shd w:val="clear" w:color="auto" w:fill="FFFFFF"/>
        <w:tabs>
          <w:tab w:val="left" w:pos="4198"/>
          <w:tab w:val="right" w:pos="9354"/>
        </w:tabs>
        <w:spacing w:before="0" w:beforeAutospacing="0" w:after="0" w:afterAutospacing="0" w:line="312" w:lineRule="auto"/>
        <w:ind w:firstLine="567"/>
        <w:jc w:val="right"/>
        <w:rPr>
          <w:i/>
          <w:sz w:val="28"/>
          <w:szCs w:val="28"/>
        </w:rPr>
      </w:pPr>
      <w:r w:rsidRPr="00580934">
        <w:rPr>
          <w:i/>
          <w:sz w:val="28"/>
          <w:szCs w:val="28"/>
        </w:rPr>
        <w:t xml:space="preserve">Таблица 2. </w:t>
      </w:r>
    </w:p>
    <w:p w:rsidR="009C6916" w:rsidRDefault="009C6916" w:rsidP="009C6916">
      <w:pPr>
        <w:pStyle w:val="a6"/>
        <w:shd w:val="clear" w:color="auto" w:fill="FFFFFF"/>
        <w:tabs>
          <w:tab w:val="left" w:pos="4198"/>
          <w:tab w:val="right" w:pos="9354"/>
        </w:tabs>
        <w:spacing w:before="0" w:beforeAutospacing="0" w:after="0" w:afterAutospacing="0" w:line="312" w:lineRule="auto"/>
        <w:ind w:firstLine="567"/>
        <w:jc w:val="center"/>
        <w:rPr>
          <w:b/>
          <w:sz w:val="28"/>
          <w:szCs w:val="28"/>
        </w:rPr>
      </w:pPr>
      <w:r>
        <w:rPr>
          <w:noProof/>
        </w:rPr>
        <w:drawing>
          <wp:anchor distT="152400" distB="196977" distL="388620" distR="117602" simplePos="0" relativeHeight="251660288" behindDoc="0" locked="0" layoutInCell="1" allowOverlap="1">
            <wp:simplePos x="0" y="0"/>
            <wp:positionH relativeFrom="column">
              <wp:posOffset>160020</wp:posOffset>
            </wp:positionH>
            <wp:positionV relativeFrom="paragraph">
              <wp:posOffset>346710</wp:posOffset>
            </wp:positionV>
            <wp:extent cx="5779135" cy="181673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B02E1E">
        <w:rPr>
          <w:b/>
          <w:sz w:val="28"/>
          <w:szCs w:val="28"/>
        </w:rPr>
        <w:t>Количество дней приёма клиники по годам</w:t>
      </w:r>
    </w:p>
    <w:p w:rsidR="009C6916" w:rsidRPr="00580934" w:rsidRDefault="009C6916" w:rsidP="009C6916">
      <w:pPr>
        <w:pStyle w:val="a6"/>
        <w:shd w:val="clear" w:color="auto" w:fill="FFFFFF"/>
        <w:tabs>
          <w:tab w:val="left" w:pos="4198"/>
          <w:tab w:val="right" w:pos="9354"/>
        </w:tabs>
        <w:spacing w:before="0" w:beforeAutospacing="0" w:after="0" w:afterAutospacing="0" w:line="312" w:lineRule="auto"/>
        <w:ind w:firstLine="567"/>
        <w:jc w:val="center"/>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i/>
          <w:sz w:val="28"/>
          <w:szCs w:val="28"/>
        </w:rPr>
      </w:pPr>
    </w:p>
    <w:p w:rsidR="009C6916" w:rsidRPr="00580934" w:rsidRDefault="009C6916" w:rsidP="009C6916">
      <w:pPr>
        <w:pStyle w:val="a6"/>
        <w:shd w:val="clear" w:color="auto" w:fill="FFFFFF"/>
        <w:spacing w:before="0" w:beforeAutospacing="0" w:after="0" w:afterAutospacing="0" w:line="312" w:lineRule="auto"/>
        <w:ind w:firstLine="567"/>
        <w:jc w:val="right"/>
        <w:rPr>
          <w:sz w:val="28"/>
          <w:szCs w:val="28"/>
        </w:rPr>
      </w:pPr>
      <w:r w:rsidRPr="00580934">
        <w:rPr>
          <w:i/>
          <w:sz w:val="28"/>
          <w:szCs w:val="28"/>
        </w:rPr>
        <w:t>Таблица 3</w:t>
      </w:r>
      <w:r w:rsidRPr="00580934">
        <w:rPr>
          <w:sz w:val="28"/>
          <w:szCs w:val="28"/>
        </w:rPr>
        <w:t>.</w:t>
      </w:r>
    </w:p>
    <w:p w:rsidR="009C6916" w:rsidRPr="00B02E1E" w:rsidRDefault="009C6916" w:rsidP="009C6916">
      <w:pPr>
        <w:pStyle w:val="a6"/>
        <w:shd w:val="clear" w:color="auto" w:fill="FFFFFF"/>
        <w:spacing w:before="0" w:beforeAutospacing="0" w:after="0" w:afterAutospacing="0" w:line="312" w:lineRule="auto"/>
        <w:ind w:firstLine="567"/>
        <w:jc w:val="center"/>
        <w:rPr>
          <w:b/>
          <w:sz w:val="28"/>
          <w:szCs w:val="28"/>
        </w:rPr>
      </w:pPr>
      <w:r w:rsidRPr="00B02E1E">
        <w:rPr>
          <w:b/>
          <w:sz w:val="28"/>
          <w:szCs w:val="28"/>
        </w:rPr>
        <w:t>Среднестатистические данные о работе ЮК ШГПИ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4"/>
        <w:gridCol w:w="1031"/>
        <w:gridCol w:w="1031"/>
        <w:gridCol w:w="1031"/>
        <w:gridCol w:w="1031"/>
        <w:gridCol w:w="1031"/>
        <w:gridCol w:w="1632"/>
      </w:tblGrid>
      <w:tr w:rsidR="009C6916" w:rsidRPr="00641105" w:rsidTr="00F53B11">
        <w:trPr>
          <w:trHeight w:val="183"/>
        </w:trPr>
        <w:tc>
          <w:tcPr>
            <w:tcW w:w="2994" w:type="dxa"/>
          </w:tcPr>
          <w:p w:rsidR="009C6916" w:rsidRPr="00641105" w:rsidRDefault="009C6916" w:rsidP="00F53B11">
            <w:pPr>
              <w:spacing w:after="0" w:line="312" w:lineRule="auto"/>
              <w:rPr>
                <w:rFonts w:ascii="Times New Roman" w:hAnsi="Times New Roman"/>
                <w:sz w:val="24"/>
                <w:szCs w:val="24"/>
              </w:rPr>
            </w:pP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2008-2009 уч.год</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2009-2010 уч.год</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2010-2011 уч.год</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2011-2012 уч.год</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2012-2013 уч.год</w:t>
            </w:r>
          </w:p>
        </w:tc>
        <w:tc>
          <w:tcPr>
            <w:tcW w:w="1632"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За весь период работы ЮК </w:t>
            </w:r>
          </w:p>
        </w:tc>
      </w:tr>
      <w:tr w:rsidR="009C6916" w:rsidRPr="00641105" w:rsidTr="00F53B11">
        <w:trPr>
          <w:trHeight w:val="183"/>
        </w:trPr>
        <w:tc>
          <w:tcPr>
            <w:tcW w:w="2994"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Среднее количество клиентов, принятых за каждое дежурство</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2,77 </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2,42</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2,65</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2,72</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2,2</w:t>
            </w:r>
          </w:p>
        </w:tc>
        <w:tc>
          <w:tcPr>
            <w:tcW w:w="1632"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2,61</w:t>
            </w:r>
          </w:p>
        </w:tc>
      </w:tr>
      <w:tr w:rsidR="009C6916" w:rsidRPr="00641105" w:rsidTr="00F53B11">
        <w:trPr>
          <w:trHeight w:val="183"/>
        </w:trPr>
        <w:tc>
          <w:tcPr>
            <w:tcW w:w="2994"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Среднее количество составленных стажёрами письменных документов</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2,75</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3,68</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2,2</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3,38</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2,44</w:t>
            </w:r>
          </w:p>
        </w:tc>
        <w:tc>
          <w:tcPr>
            <w:tcW w:w="1632"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2,89</w:t>
            </w:r>
          </w:p>
        </w:tc>
      </w:tr>
      <w:tr w:rsidR="009C6916" w:rsidRPr="00641105" w:rsidTr="00F53B11">
        <w:trPr>
          <w:trHeight w:val="183"/>
        </w:trPr>
        <w:tc>
          <w:tcPr>
            <w:tcW w:w="2994"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Среднее количество заданных клиентами вопросов на одном приёме</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1,5</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3,09</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3,79</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5,4</w:t>
            </w:r>
          </w:p>
        </w:tc>
        <w:tc>
          <w:tcPr>
            <w:tcW w:w="1031"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4,84</w:t>
            </w:r>
          </w:p>
        </w:tc>
        <w:tc>
          <w:tcPr>
            <w:tcW w:w="1632"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3,72</w:t>
            </w:r>
          </w:p>
        </w:tc>
      </w:tr>
    </w:tbl>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Приведённые данные свидетельствуют о повышении количества и сложности поставленных клиентами перед стажёрами клиники правовых вопросов. Причём, следует подчеркнуть высокий уровень результативности работы клиницистов. Более 95 % предъявленных в суды разного уровня исковых заявлений было удовлетворено. После подготовки проектов ряда исковых заявлений даже не потребовалось предъявлять их в суд, поскольку ответчики удовлетворяли подготовленные требования добровольно. Такое качество бесплатной студенческой юридической помощи обеспечивалось не только за счёт руководства работой клиники практическим работником с большим стажем реальной работы в правоохранительных органах и в суде, но и высоким качеством знаний клиницистов, о чём красноречиво свидетельствуют следующие данные (таблица 4):</w:t>
      </w:r>
    </w:p>
    <w:p w:rsidR="009C6916" w:rsidRPr="00580934" w:rsidRDefault="009C6916" w:rsidP="009C6916">
      <w:pPr>
        <w:spacing w:after="0" w:line="312" w:lineRule="auto"/>
        <w:ind w:firstLine="567"/>
        <w:jc w:val="right"/>
        <w:rPr>
          <w:rFonts w:ascii="Times New Roman" w:hAnsi="Times New Roman"/>
          <w:i/>
          <w:sz w:val="28"/>
          <w:szCs w:val="28"/>
        </w:rPr>
      </w:pPr>
      <w:r w:rsidRPr="00580934">
        <w:rPr>
          <w:rFonts w:ascii="Times New Roman" w:hAnsi="Times New Roman"/>
          <w:i/>
          <w:sz w:val="28"/>
          <w:szCs w:val="28"/>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063"/>
        <w:gridCol w:w="1063"/>
        <w:gridCol w:w="1064"/>
        <w:gridCol w:w="1063"/>
        <w:gridCol w:w="1064"/>
        <w:gridCol w:w="1063"/>
        <w:gridCol w:w="1117"/>
      </w:tblGrid>
      <w:tr w:rsidR="009C6916" w:rsidRPr="00641105" w:rsidTr="00F53B11">
        <w:trPr>
          <w:trHeight w:val="546"/>
        </w:trPr>
        <w:tc>
          <w:tcPr>
            <w:tcW w:w="1984" w:type="dxa"/>
          </w:tcPr>
          <w:p w:rsidR="009C6916" w:rsidRPr="00641105" w:rsidRDefault="009C6916" w:rsidP="00F53B11">
            <w:pPr>
              <w:spacing w:after="0" w:line="312" w:lineRule="auto"/>
              <w:ind w:firstLine="34"/>
              <w:jc w:val="both"/>
              <w:rPr>
                <w:rFonts w:ascii="Times New Roman" w:hAnsi="Times New Roman"/>
                <w:sz w:val="24"/>
                <w:szCs w:val="24"/>
              </w:rPr>
            </w:pP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2008-2009 уч.год</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2009-2010 уч.год</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2010-2011 уч.год</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2011-2012 уч.год</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2012-2013</w:t>
            </w:r>
          </w:p>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уч.год</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2013-2014 уч.год</w:t>
            </w:r>
          </w:p>
        </w:tc>
        <w:tc>
          <w:tcPr>
            <w:tcW w:w="1126"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Итого за 5 лет</w:t>
            </w:r>
          </w:p>
        </w:tc>
      </w:tr>
      <w:tr w:rsidR="009C6916" w:rsidRPr="00641105" w:rsidTr="00F53B11">
        <w:trPr>
          <w:trHeight w:val="1373"/>
        </w:trPr>
        <w:tc>
          <w:tcPr>
            <w:tcW w:w="1984"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Окончили вуз с получением свидетельства об окончании клиники</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3</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4</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5</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3</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w:t>
            </w:r>
          </w:p>
        </w:tc>
        <w:tc>
          <w:tcPr>
            <w:tcW w:w="1126"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17</w:t>
            </w:r>
          </w:p>
        </w:tc>
      </w:tr>
      <w:tr w:rsidR="009C6916" w:rsidRPr="00641105" w:rsidTr="00F53B11">
        <w:trPr>
          <w:trHeight w:val="1101"/>
        </w:trPr>
        <w:tc>
          <w:tcPr>
            <w:tcW w:w="1984"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Из них – окончили вуз с дипломом с отличием</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3</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3</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p>
        </w:tc>
        <w:tc>
          <w:tcPr>
            <w:tcW w:w="1126"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 xml:space="preserve">9 (52,9%) </w:t>
            </w:r>
          </w:p>
        </w:tc>
      </w:tr>
      <w:tr w:rsidR="009C6916" w:rsidRPr="00641105" w:rsidTr="00F53B11">
        <w:trPr>
          <w:trHeight w:val="1110"/>
        </w:trPr>
        <w:tc>
          <w:tcPr>
            <w:tcW w:w="1984"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lastRenderedPageBreak/>
              <w:t>Получали (ют) второе (юридическое) образование</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3</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2</w:t>
            </w:r>
          </w:p>
        </w:tc>
        <w:tc>
          <w:tcPr>
            <w:tcW w:w="1079"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w:t>
            </w:r>
          </w:p>
        </w:tc>
        <w:tc>
          <w:tcPr>
            <w:tcW w:w="1078"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w:t>
            </w:r>
          </w:p>
        </w:tc>
        <w:tc>
          <w:tcPr>
            <w:tcW w:w="1126" w:type="dxa"/>
          </w:tcPr>
          <w:p w:rsidR="009C6916" w:rsidRPr="00641105" w:rsidRDefault="009C6916" w:rsidP="00F53B11">
            <w:pPr>
              <w:spacing w:after="0" w:line="312" w:lineRule="auto"/>
              <w:ind w:firstLine="34"/>
              <w:jc w:val="both"/>
              <w:rPr>
                <w:rFonts w:ascii="Times New Roman" w:hAnsi="Times New Roman"/>
                <w:sz w:val="24"/>
                <w:szCs w:val="24"/>
              </w:rPr>
            </w:pPr>
            <w:r w:rsidRPr="00641105">
              <w:rPr>
                <w:rFonts w:ascii="Times New Roman" w:hAnsi="Times New Roman"/>
                <w:sz w:val="24"/>
                <w:szCs w:val="24"/>
              </w:rPr>
              <w:t>10 (58,8 %)</w:t>
            </w:r>
          </w:p>
        </w:tc>
      </w:tr>
    </w:tbl>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Таким образом, более половины стажёров клиники имели отличные знания, что подтверждено получением ими дипломов с отличием, кроме того, почти 60 % выпускников клиники уже получили, либо параллельно с получением педагогического образования получают высшее юридическое образование, причём, выпускница клиники, получившая в “ШГПИ” специальность “Учитель истории и права”,  кардинальным образом изменила свои интересы уже во время обучения на последних курсах вуза, а после полугода работы в клинике, уже работала помощником адвоката во время каникул, а затем получила ещё и высшее юридическое образование, в настоящее время работает в судебной системе Российской Федерации.</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Работа в клинике сопряжена с большими умственными и психологическими нагрузками, причём, большие временные затраты требуются для изучения ситуации уже в домашних условиях, поскольку, материально – техническое обеспечение деятельности клиники таково, что в работе есть возможность использовать компьютер с неуверенным приёмом интернет - информации, принтер (подаренный выпускниками клиники) и ксерокс, что лишает реальной возможности разрешать поставленные клиентами вопросы непосредственно во время приёма клиента.</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Именно эти обстоятельства делают практически невозможным применение каких – либо рычагов, позволяющих заставить студента работать в клинике принудительно. Деятельность клиницистов основана на полном соблюдении принципа добровольности работы в клинике.</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 связи с этим следует подчеркнуть, что чрезвычайно важной кадровой проблемой “Юридической клиники” любого вуза и педагогического в особенности, является ротация стажёров, т.е. пополнение кадров клиницистов после очередного выпуска студентов, закончивших обучение в вузе... </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Каждый раз в начале учебного года на организационное собрание новичков, желающих испытать свои силы в практической правовой работе, приходят десятки заинтересованных студентов, но с каждым годом их становится всё меньше. В 2013 – 2014 учебном году среди студентов старших </w:t>
      </w:r>
      <w:r w:rsidRPr="00580934">
        <w:rPr>
          <w:rFonts w:ascii="Times New Roman" w:hAnsi="Times New Roman"/>
          <w:sz w:val="28"/>
          <w:szCs w:val="28"/>
        </w:rPr>
        <w:lastRenderedPageBreak/>
        <w:t>курсов факультета истории и права, имеющих некоторый багаж правовых знаний, желающих работать в “Юридической клинике”, просто не оказалось… Обучение в школе стажеров клиники на 15.10.2013 года проходили лишь две студентки, обучающи</w:t>
      </w:r>
      <w:r>
        <w:rPr>
          <w:rFonts w:ascii="Times New Roman" w:hAnsi="Times New Roman"/>
          <w:sz w:val="28"/>
          <w:szCs w:val="28"/>
        </w:rPr>
        <w:t>е</w:t>
      </w:r>
      <w:r w:rsidRPr="00580934">
        <w:rPr>
          <w:rFonts w:ascii="Times New Roman" w:hAnsi="Times New Roman"/>
          <w:sz w:val="28"/>
          <w:szCs w:val="28"/>
        </w:rPr>
        <w:t>ся на 3 курсе по системе бакалавриата.</w:t>
      </w:r>
    </w:p>
    <w:p w:rsidR="009C6916" w:rsidRDefault="009C6916" w:rsidP="009C6916">
      <w:pPr>
        <w:spacing w:after="0" w:line="360" w:lineRule="auto"/>
        <w:ind w:firstLine="567"/>
        <w:rPr>
          <w:rFonts w:ascii="Times New Roman" w:hAnsi="Times New Roman"/>
          <w:i/>
          <w:sz w:val="28"/>
          <w:szCs w:val="28"/>
        </w:rPr>
      </w:pPr>
      <w:r w:rsidRPr="00580934">
        <w:rPr>
          <w:rFonts w:ascii="Times New Roman" w:hAnsi="Times New Roman"/>
          <w:sz w:val="28"/>
          <w:szCs w:val="28"/>
        </w:rPr>
        <w:t>Движение кадров клиники по годам отражено в таблице 5:</w:t>
      </w:r>
      <w:r w:rsidRPr="00580934">
        <w:rPr>
          <w:rFonts w:ascii="Times New Roman" w:hAnsi="Times New Roman"/>
          <w:i/>
          <w:sz w:val="28"/>
          <w:szCs w:val="28"/>
        </w:rPr>
        <w:t xml:space="preserve"> </w:t>
      </w:r>
    </w:p>
    <w:p w:rsidR="009C6916" w:rsidRPr="005600D6" w:rsidRDefault="009C6916" w:rsidP="009C6916">
      <w:pPr>
        <w:spacing w:after="0" w:line="360" w:lineRule="auto"/>
        <w:ind w:firstLine="567"/>
        <w:jc w:val="right"/>
        <w:rPr>
          <w:rFonts w:ascii="Times New Roman" w:hAnsi="Times New Roman"/>
          <w:sz w:val="28"/>
          <w:szCs w:val="28"/>
        </w:rPr>
      </w:pPr>
      <w:r w:rsidRPr="00580934">
        <w:rPr>
          <w:rFonts w:ascii="Times New Roman" w:hAnsi="Times New Roman"/>
          <w:i/>
          <w:sz w:val="28"/>
          <w:szCs w:val="28"/>
        </w:rPr>
        <w:t>Таблица 5</w:t>
      </w:r>
    </w:p>
    <w:tbl>
      <w:tblPr>
        <w:tblpPr w:leftFromText="180" w:rightFromText="180" w:vertAnchor="text" w:horzAnchor="margin" w:tblpX="326" w:tblpY="602"/>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141"/>
        <w:gridCol w:w="1142"/>
        <w:gridCol w:w="1143"/>
        <w:gridCol w:w="1144"/>
        <w:gridCol w:w="1144"/>
        <w:gridCol w:w="1144"/>
        <w:gridCol w:w="1304"/>
      </w:tblGrid>
      <w:tr w:rsidR="009C6916" w:rsidRPr="00641105" w:rsidTr="00F53B11">
        <w:trPr>
          <w:trHeight w:val="258"/>
        </w:trPr>
        <w:tc>
          <w:tcPr>
            <w:tcW w:w="1201" w:type="dxa"/>
          </w:tcPr>
          <w:p w:rsidR="009C6916" w:rsidRPr="00641105" w:rsidRDefault="009C6916" w:rsidP="00F53B11">
            <w:pPr>
              <w:spacing w:after="0" w:line="240" w:lineRule="auto"/>
              <w:jc w:val="both"/>
              <w:rPr>
                <w:rFonts w:ascii="Times New Roman" w:hAnsi="Times New Roman"/>
                <w:sz w:val="24"/>
                <w:szCs w:val="24"/>
              </w:rPr>
            </w:pPr>
            <w:r>
              <w:rPr>
                <w:rFonts w:ascii="Times New Roman" w:hAnsi="Times New Roman"/>
                <w:sz w:val="24"/>
                <w:szCs w:val="24"/>
              </w:rPr>
              <w:t>Работали в клинике</w:t>
            </w:r>
          </w:p>
        </w:tc>
        <w:tc>
          <w:tcPr>
            <w:tcW w:w="1170"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2008 - 2009 уч.год</w:t>
            </w:r>
          </w:p>
        </w:tc>
        <w:tc>
          <w:tcPr>
            <w:tcW w:w="1170"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2009 - 2010 уч.год</w:t>
            </w:r>
          </w:p>
        </w:tc>
        <w:tc>
          <w:tcPr>
            <w:tcW w:w="1171"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2010 - 2011 уч.год</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2011 -2012 уч.год</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2012 -2013 уч.год</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2013 -2014 уч.год</w:t>
            </w:r>
          </w:p>
        </w:tc>
        <w:tc>
          <w:tcPr>
            <w:tcW w:w="1351"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Итого</w:t>
            </w:r>
          </w:p>
        </w:tc>
      </w:tr>
      <w:tr w:rsidR="009C6916" w:rsidRPr="00641105" w:rsidTr="00F53B11">
        <w:trPr>
          <w:trHeight w:val="246"/>
        </w:trPr>
        <w:tc>
          <w:tcPr>
            <w:tcW w:w="1201" w:type="dxa"/>
          </w:tcPr>
          <w:p w:rsidR="009C6916" w:rsidRPr="00641105" w:rsidRDefault="009C6916" w:rsidP="00F53B11">
            <w:pPr>
              <w:spacing w:after="0" w:line="240" w:lineRule="auto"/>
              <w:jc w:val="both"/>
              <w:rPr>
                <w:rFonts w:ascii="Times New Roman" w:hAnsi="Times New Roman"/>
                <w:sz w:val="24"/>
                <w:szCs w:val="24"/>
              </w:rPr>
            </w:pPr>
            <w:r>
              <w:rPr>
                <w:rFonts w:ascii="Times New Roman" w:hAnsi="Times New Roman"/>
                <w:sz w:val="24"/>
                <w:szCs w:val="24"/>
              </w:rPr>
              <w:t>Количество стажёров</w:t>
            </w:r>
          </w:p>
        </w:tc>
        <w:tc>
          <w:tcPr>
            <w:tcW w:w="1170"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9</w:t>
            </w:r>
          </w:p>
        </w:tc>
        <w:tc>
          <w:tcPr>
            <w:tcW w:w="1170"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1</w:t>
            </w:r>
          </w:p>
        </w:tc>
        <w:tc>
          <w:tcPr>
            <w:tcW w:w="1171"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8</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1</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3</w:t>
            </w:r>
          </w:p>
        </w:tc>
        <w:tc>
          <w:tcPr>
            <w:tcW w:w="1172"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w:t>
            </w:r>
          </w:p>
        </w:tc>
        <w:tc>
          <w:tcPr>
            <w:tcW w:w="1351" w:type="dxa"/>
          </w:tcPr>
          <w:p w:rsidR="009C6916" w:rsidRPr="00641105" w:rsidRDefault="009C6916" w:rsidP="00F53B11">
            <w:pPr>
              <w:spacing w:after="0" w:line="240" w:lineRule="auto"/>
              <w:jc w:val="both"/>
              <w:rPr>
                <w:rFonts w:ascii="Times New Roman" w:hAnsi="Times New Roman"/>
                <w:sz w:val="24"/>
                <w:szCs w:val="24"/>
              </w:rPr>
            </w:pPr>
            <w:r w:rsidRPr="00641105">
              <w:rPr>
                <w:rFonts w:ascii="Times New Roman" w:hAnsi="Times New Roman"/>
                <w:sz w:val="24"/>
                <w:szCs w:val="24"/>
              </w:rPr>
              <w:t>24</w:t>
            </w:r>
          </w:p>
        </w:tc>
      </w:tr>
    </w:tbl>
    <w:p w:rsidR="009C6916" w:rsidRDefault="009C6916" w:rsidP="009C6916">
      <w:pPr>
        <w:spacing w:after="0" w:line="312" w:lineRule="auto"/>
        <w:ind w:firstLine="567"/>
        <w:jc w:val="both"/>
        <w:rPr>
          <w:rFonts w:ascii="Times New Roman" w:hAnsi="Times New Roman"/>
          <w:sz w:val="28"/>
          <w:szCs w:val="28"/>
        </w:rPr>
      </w:pP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Безусловно, наличие большого запаса знаний по различным отраслям права существенно облегчает как работу студентов – стажёров, так и руководство их работой со стороны преподавателя, поэтому становится понятным, что использование в полную силу в работе клиники студентов младших курсов, особенно после перехода российской системы образования на Болонскую систему обучения вызывает необходимость дополнительного обучения будущих стажёров для устранения пробелов в их знаниях тех отраслей права, которые они просто не изучали.  </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Сравнительный анализ рабочих учебных планов при обучении по системам специалитета и по бакалавриата выглядит следующим образом:</w:t>
      </w:r>
    </w:p>
    <w:p w:rsidR="009C6916" w:rsidRPr="00580934" w:rsidRDefault="009C6916" w:rsidP="009C6916">
      <w:pPr>
        <w:spacing w:after="0" w:line="312" w:lineRule="auto"/>
        <w:ind w:firstLine="567"/>
        <w:jc w:val="right"/>
        <w:rPr>
          <w:rFonts w:ascii="Times New Roman" w:hAnsi="Times New Roman"/>
          <w:i/>
          <w:sz w:val="28"/>
          <w:szCs w:val="28"/>
        </w:rPr>
      </w:pPr>
      <w:r w:rsidRPr="00580934">
        <w:rPr>
          <w:rFonts w:ascii="Times New Roman" w:hAnsi="Times New Roman"/>
          <w:i/>
          <w:sz w:val="28"/>
          <w:szCs w:val="28"/>
        </w:rPr>
        <w:t>Таблица 6</w:t>
      </w:r>
    </w:p>
    <w:p w:rsidR="009C6916" w:rsidRPr="00DB2995" w:rsidRDefault="009C6916" w:rsidP="009C6916">
      <w:pPr>
        <w:spacing w:after="0" w:line="312" w:lineRule="auto"/>
        <w:ind w:firstLine="567"/>
        <w:jc w:val="center"/>
        <w:rPr>
          <w:rFonts w:ascii="Times New Roman" w:hAnsi="Times New Roman"/>
          <w:b/>
          <w:sz w:val="28"/>
          <w:szCs w:val="28"/>
        </w:rPr>
      </w:pPr>
      <w:r w:rsidRPr="00DB2995">
        <w:rPr>
          <w:rFonts w:ascii="Times New Roman" w:hAnsi="Times New Roman"/>
          <w:b/>
          <w:sz w:val="28"/>
          <w:szCs w:val="28"/>
        </w:rPr>
        <w:t>Сравнительный анализ учебных нагрузок по правовым предметам, по которым зафиксированы обращения клиентов в клинику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260"/>
        <w:gridCol w:w="703"/>
        <w:gridCol w:w="817"/>
        <w:gridCol w:w="735"/>
        <w:gridCol w:w="735"/>
        <w:gridCol w:w="901"/>
        <w:gridCol w:w="1093"/>
        <w:gridCol w:w="720"/>
        <w:gridCol w:w="900"/>
        <w:gridCol w:w="1321"/>
      </w:tblGrid>
      <w:tr w:rsidR="009C6916" w:rsidRPr="00641105" w:rsidTr="00F53B11">
        <w:trPr>
          <w:trHeight w:val="720"/>
        </w:trPr>
        <w:tc>
          <w:tcPr>
            <w:tcW w:w="1856" w:type="dxa"/>
            <w:gridSpan w:val="2"/>
            <w:vMerge w:val="restart"/>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 xml:space="preserve">Отрасли права, по которым в Юридическую клинику ШГПИ обращались клиенты, изучаемые в процессе получения высшего </w:t>
            </w:r>
            <w:r w:rsidRPr="00641105">
              <w:rPr>
                <w:rFonts w:ascii="Times New Roman" w:hAnsi="Times New Roman"/>
                <w:sz w:val="24"/>
                <w:szCs w:val="24"/>
              </w:rPr>
              <w:lastRenderedPageBreak/>
              <w:t>образования в “ШГПИ”</w:t>
            </w:r>
          </w:p>
        </w:tc>
        <w:tc>
          <w:tcPr>
            <w:tcW w:w="1520" w:type="dxa"/>
            <w:gridSpan w:val="2"/>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lastRenderedPageBreak/>
              <w:t>За период 3.12.2008 - 1.09.2013 г.</w:t>
            </w:r>
          </w:p>
        </w:tc>
        <w:tc>
          <w:tcPr>
            <w:tcW w:w="2371" w:type="dxa"/>
            <w:gridSpan w:val="3"/>
          </w:tcPr>
          <w:p w:rsidR="009C6916" w:rsidRPr="00641105" w:rsidRDefault="009C6916" w:rsidP="00F53B11">
            <w:pPr>
              <w:spacing w:after="0" w:line="312" w:lineRule="auto"/>
              <w:jc w:val="center"/>
              <w:rPr>
                <w:rFonts w:ascii="Times New Roman" w:hAnsi="Times New Roman"/>
                <w:sz w:val="24"/>
                <w:szCs w:val="24"/>
              </w:rPr>
            </w:pPr>
            <w:r w:rsidRPr="00641105">
              <w:rPr>
                <w:rFonts w:ascii="Times New Roman" w:hAnsi="Times New Roman"/>
                <w:sz w:val="24"/>
                <w:szCs w:val="24"/>
              </w:rPr>
              <w:t>Специалитет</w:t>
            </w:r>
          </w:p>
        </w:tc>
        <w:tc>
          <w:tcPr>
            <w:tcW w:w="2713" w:type="dxa"/>
            <w:gridSpan w:val="3"/>
          </w:tcPr>
          <w:p w:rsidR="009C6916" w:rsidRPr="00641105" w:rsidRDefault="009C6916" w:rsidP="00F53B11">
            <w:pPr>
              <w:spacing w:after="0" w:line="312" w:lineRule="auto"/>
              <w:jc w:val="center"/>
              <w:rPr>
                <w:rFonts w:ascii="Times New Roman" w:hAnsi="Times New Roman"/>
                <w:sz w:val="24"/>
                <w:szCs w:val="24"/>
              </w:rPr>
            </w:pPr>
            <w:r w:rsidRPr="00641105">
              <w:rPr>
                <w:rFonts w:ascii="Times New Roman" w:hAnsi="Times New Roman"/>
                <w:sz w:val="24"/>
                <w:szCs w:val="24"/>
              </w:rPr>
              <w:t>Бакалавриат</w:t>
            </w:r>
          </w:p>
        </w:tc>
        <w:tc>
          <w:tcPr>
            <w:tcW w:w="1321" w:type="dxa"/>
            <w:vMerge w:val="restart"/>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Разница в нагрузке между специалитетом и бакалавриатом (час.)</w:t>
            </w:r>
          </w:p>
        </w:tc>
      </w:tr>
      <w:tr w:rsidR="009C6916" w:rsidRPr="00641105" w:rsidTr="00F53B11">
        <w:trPr>
          <w:trHeight w:val="719"/>
        </w:trPr>
        <w:tc>
          <w:tcPr>
            <w:tcW w:w="1856" w:type="dxa"/>
            <w:gridSpan w:val="2"/>
            <w:vMerge/>
          </w:tcPr>
          <w:p w:rsidR="009C6916" w:rsidRPr="00641105" w:rsidRDefault="009C6916" w:rsidP="00F53B11">
            <w:pPr>
              <w:spacing w:after="0" w:line="312" w:lineRule="auto"/>
              <w:rPr>
                <w:rFonts w:ascii="Times New Roman" w:hAnsi="Times New Roman"/>
                <w:sz w:val="24"/>
                <w:szCs w:val="24"/>
              </w:rPr>
            </w:pPr>
          </w:p>
        </w:tc>
        <w:tc>
          <w:tcPr>
            <w:tcW w:w="70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всего </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обращений от общего количеств</w:t>
            </w:r>
            <w:r w:rsidRPr="00641105">
              <w:rPr>
                <w:rFonts w:ascii="Times New Roman" w:hAnsi="Times New Roman"/>
                <w:sz w:val="24"/>
                <w:szCs w:val="24"/>
              </w:rPr>
              <w:lastRenderedPageBreak/>
              <w:t>а</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lastRenderedPageBreak/>
              <w:t>курс</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лекции (час.)</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семинарские занятия (час.)</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курс</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лекции (час.)</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семинарские занятия (час.)</w:t>
            </w:r>
          </w:p>
        </w:tc>
        <w:tc>
          <w:tcPr>
            <w:tcW w:w="1321" w:type="dxa"/>
            <w:vMerge/>
          </w:tcPr>
          <w:p w:rsidR="009C6916" w:rsidRPr="00641105" w:rsidRDefault="009C6916" w:rsidP="00F53B11">
            <w:pPr>
              <w:spacing w:after="0" w:line="312" w:lineRule="auto"/>
              <w:jc w:val="both"/>
              <w:rPr>
                <w:rFonts w:ascii="Times New Roman" w:hAnsi="Times New Roman"/>
                <w:sz w:val="24"/>
                <w:szCs w:val="24"/>
              </w:rPr>
            </w:pPr>
          </w:p>
        </w:tc>
      </w:tr>
      <w:tr w:rsidR="009C6916" w:rsidRPr="00641105" w:rsidTr="00F53B11">
        <w:trPr>
          <w:trHeight w:val="48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lastRenderedPageBreak/>
              <w:t>Административное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36</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48</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46</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- 62 </w:t>
            </w:r>
          </w:p>
        </w:tc>
      </w:tr>
      <w:tr w:rsidR="009C6916" w:rsidRPr="00641105" w:rsidTr="00F53B11">
        <w:trPr>
          <w:trHeight w:val="583"/>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Гражданское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222</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27,2 %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2, 3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118 </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116</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2 – 3 </w:t>
            </w:r>
          </w:p>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28</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36</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- 174</w:t>
            </w:r>
          </w:p>
        </w:tc>
      </w:tr>
      <w:tr w:rsidR="009C6916" w:rsidRPr="00641105" w:rsidTr="00F53B11">
        <w:trPr>
          <w:trHeight w:val="223"/>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Жилищное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70</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8,5 %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24</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22</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 </w:t>
            </w:r>
            <w:r>
              <w:rPr>
                <w:rFonts w:ascii="Times New Roman" w:hAnsi="Times New Roman"/>
                <w:sz w:val="24"/>
                <w:szCs w:val="24"/>
              </w:rPr>
              <w:t xml:space="preserve">- </w:t>
            </w:r>
            <w:r w:rsidRPr="00641105">
              <w:rPr>
                <w:rFonts w:ascii="Times New Roman" w:hAnsi="Times New Roman"/>
                <w:sz w:val="24"/>
                <w:szCs w:val="24"/>
              </w:rPr>
              <w:t>по выбору с муниципальным правом</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- 14</w:t>
            </w:r>
          </w:p>
        </w:tc>
      </w:tr>
      <w:tr w:rsidR="009C6916" w:rsidRPr="00641105" w:rsidTr="00F53B11">
        <w:trPr>
          <w:trHeight w:val="71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Исполнительное производство (гражданский процесс)</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28</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3, 4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46 </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44</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- 58</w:t>
            </w:r>
          </w:p>
        </w:tc>
      </w:tr>
      <w:tr w:rsidR="009C6916" w:rsidRPr="00641105" w:rsidTr="00F53B11">
        <w:trPr>
          <w:trHeight w:val="71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Налоговое право (финансовое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12</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36</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36</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 </w:t>
            </w:r>
            <w:r>
              <w:rPr>
                <w:rFonts w:ascii="Times New Roman" w:hAnsi="Times New Roman"/>
                <w:sz w:val="24"/>
                <w:szCs w:val="24"/>
              </w:rPr>
              <w:t xml:space="preserve">- </w:t>
            </w:r>
            <w:r w:rsidRPr="00641105">
              <w:rPr>
                <w:rFonts w:ascii="Times New Roman" w:hAnsi="Times New Roman"/>
                <w:sz w:val="24"/>
                <w:szCs w:val="24"/>
              </w:rPr>
              <w:t>по выбору с предпринимательским правом</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- 40</w:t>
            </w:r>
          </w:p>
        </w:tc>
      </w:tr>
      <w:tr w:rsidR="009C6916" w:rsidRPr="00641105" w:rsidTr="00F53B11">
        <w:trPr>
          <w:trHeight w:val="461"/>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Наследственное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33</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10</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10</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- 20</w:t>
            </w:r>
          </w:p>
        </w:tc>
      </w:tr>
      <w:tr w:rsidR="009C6916" w:rsidRPr="00641105" w:rsidTr="00F53B11">
        <w:trPr>
          <w:trHeight w:val="621"/>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Особое производство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11</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1,3 %</w:t>
            </w: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901" w:type="dxa"/>
          </w:tcPr>
          <w:p w:rsidR="009C6916" w:rsidRPr="00641105" w:rsidRDefault="009C6916" w:rsidP="00F53B11">
            <w:pPr>
              <w:spacing w:after="0" w:line="312" w:lineRule="auto"/>
              <w:jc w:val="both"/>
              <w:rPr>
                <w:rFonts w:ascii="Times New Roman" w:hAnsi="Times New Roman"/>
                <w:sz w:val="24"/>
                <w:szCs w:val="24"/>
              </w:rPr>
            </w:pPr>
          </w:p>
        </w:tc>
        <w:tc>
          <w:tcPr>
            <w:tcW w:w="1093" w:type="dxa"/>
          </w:tcPr>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p>
        </w:tc>
        <w:tc>
          <w:tcPr>
            <w:tcW w:w="900" w:type="dxa"/>
          </w:tcPr>
          <w:p w:rsidR="009C6916" w:rsidRPr="00641105" w:rsidRDefault="009C6916" w:rsidP="00F53B11">
            <w:pPr>
              <w:spacing w:after="0" w:line="312" w:lineRule="auto"/>
              <w:jc w:val="both"/>
              <w:rPr>
                <w:rFonts w:ascii="Times New Roman" w:hAnsi="Times New Roman"/>
                <w:sz w:val="24"/>
                <w:szCs w:val="24"/>
              </w:rPr>
            </w:pPr>
          </w:p>
        </w:tc>
        <w:tc>
          <w:tcPr>
            <w:tcW w:w="1321" w:type="dxa"/>
          </w:tcPr>
          <w:p w:rsidR="009C6916" w:rsidRPr="00641105" w:rsidRDefault="009C6916" w:rsidP="00F53B11">
            <w:pPr>
              <w:spacing w:after="0" w:line="312" w:lineRule="auto"/>
              <w:jc w:val="both"/>
              <w:rPr>
                <w:rFonts w:ascii="Times New Roman" w:hAnsi="Times New Roman"/>
                <w:sz w:val="24"/>
                <w:szCs w:val="24"/>
              </w:rPr>
            </w:pPr>
          </w:p>
        </w:tc>
      </w:tr>
      <w:tr w:rsidR="009C6916" w:rsidRPr="00641105" w:rsidTr="00F53B11">
        <w:trPr>
          <w:trHeight w:val="71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Природоохранное законодательство (экологическое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11</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1,3 %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34</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32</w:t>
            </w:r>
          </w:p>
        </w:tc>
        <w:tc>
          <w:tcPr>
            <w:tcW w:w="1093" w:type="dxa"/>
          </w:tcPr>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p>
        </w:tc>
        <w:tc>
          <w:tcPr>
            <w:tcW w:w="900" w:type="dxa"/>
          </w:tcPr>
          <w:p w:rsidR="009C6916" w:rsidRPr="00641105" w:rsidRDefault="009C6916" w:rsidP="00F53B11">
            <w:pPr>
              <w:spacing w:after="0" w:line="312" w:lineRule="auto"/>
              <w:jc w:val="both"/>
              <w:rPr>
                <w:rFonts w:ascii="Times New Roman" w:hAnsi="Times New Roman"/>
                <w:sz w:val="24"/>
                <w:szCs w:val="24"/>
              </w:rPr>
            </w:pP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- 68</w:t>
            </w:r>
          </w:p>
        </w:tc>
      </w:tr>
      <w:tr w:rsidR="009C6916" w:rsidRPr="00641105" w:rsidTr="00F53B11">
        <w:trPr>
          <w:trHeight w:val="405"/>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Прочие отрасли права</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58</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7 %</w:t>
            </w: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901" w:type="dxa"/>
          </w:tcPr>
          <w:p w:rsidR="009C6916" w:rsidRPr="00641105" w:rsidRDefault="009C6916" w:rsidP="00F53B11">
            <w:pPr>
              <w:spacing w:after="0" w:line="312" w:lineRule="auto"/>
              <w:jc w:val="both"/>
              <w:rPr>
                <w:rFonts w:ascii="Times New Roman" w:hAnsi="Times New Roman"/>
                <w:sz w:val="24"/>
                <w:szCs w:val="24"/>
              </w:rPr>
            </w:pPr>
          </w:p>
        </w:tc>
        <w:tc>
          <w:tcPr>
            <w:tcW w:w="1093" w:type="dxa"/>
          </w:tcPr>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p>
        </w:tc>
        <w:tc>
          <w:tcPr>
            <w:tcW w:w="900" w:type="dxa"/>
          </w:tcPr>
          <w:p w:rsidR="009C6916" w:rsidRPr="00641105" w:rsidRDefault="009C6916" w:rsidP="00F53B11">
            <w:pPr>
              <w:spacing w:after="0" w:line="312" w:lineRule="auto"/>
              <w:jc w:val="both"/>
              <w:rPr>
                <w:rFonts w:ascii="Times New Roman" w:hAnsi="Times New Roman"/>
                <w:sz w:val="24"/>
                <w:szCs w:val="24"/>
              </w:rPr>
            </w:pPr>
          </w:p>
        </w:tc>
        <w:tc>
          <w:tcPr>
            <w:tcW w:w="1321" w:type="dxa"/>
          </w:tcPr>
          <w:p w:rsidR="009C6916" w:rsidRPr="00641105" w:rsidRDefault="009C6916" w:rsidP="00F53B11">
            <w:pPr>
              <w:spacing w:after="0" w:line="312" w:lineRule="auto"/>
              <w:jc w:val="both"/>
              <w:rPr>
                <w:rFonts w:ascii="Times New Roman" w:hAnsi="Times New Roman"/>
                <w:sz w:val="24"/>
                <w:szCs w:val="24"/>
              </w:rPr>
            </w:pPr>
          </w:p>
        </w:tc>
      </w:tr>
      <w:tr w:rsidR="009C6916" w:rsidRPr="00641105" w:rsidTr="00F53B11">
        <w:trPr>
          <w:trHeight w:val="371"/>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Семейное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50</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6,1 %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34</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32</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- 34</w:t>
            </w:r>
          </w:p>
        </w:tc>
      </w:tr>
      <w:tr w:rsidR="009C6916" w:rsidRPr="00641105" w:rsidTr="00F53B11">
        <w:trPr>
          <w:trHeight w:val="71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Социальное обеспечение</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118</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14,3 %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16</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 </w:t>
            </w:r>
            <w:r>
              <w:rPr>
                <w:rFonts w:ascii="Times New Roman" w:hAnsi="Times New Roman"/>
                <w:sz w:val="24"/>
                <w:szCs w:val="24"/>
              </w:rPr>
              <w:t xml:space="preserve">- </w:t>
            </w:r>
            <w:r w:rsidRPr="00641105">
              <w:rPr>
                <w:rFonts w:ascii="Times New Roman" w:hAnsi="Times New Roman"/>
                <w:sz w:val="24"/>
                <w:szCs w:val="24"/>
              </w:rPr>
              <w:t xml:space="preserve">по выбору </w:t>
            </w:r>
            <w:r w:rsidRPr="00641105">
              <w:rPr>
                <w:rFonts w:ascii="Times New Roman" w:hAnsi="Times New Roman"/>
                <w:sz w:val="24"/>
                <w:szCs w:val="24"/>
              </w:rPr>
              <w:lastRenderedPageBreak/>
              <w:t>с теорией квалификации</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lastRenderedPageBreak/>
              <w:t>8</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- 14</w:t>
            </w:r>
          </w:p>
        </w:tc>
      </w:tr>
      <w:tr w:rsidR="009C6916" w:rsidRPr="00641105" w:rsidTr="00F53B11">
        <w:trPr>
          <w:trHeight w:val="719"/>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lastRenderedPageBreak/>
              <w:t>Споры о защите прав потребителей</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20</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2,4 %</w:t>
            </w: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735" w:type="dxa"/>
          </w:tcPr>
          <w:p w:rsidR="009C6916" w:rsidRPr="00641105" w:rsidRDefault="009C6916" w:rsidP="00F53B11">
            <w:pPr>
              <w:spacing w:after="0" w:line="312" w:lineRule="auto"/>
              <w:jc w:val="both"/>
              <w:rPr>
                <w:rFonts w:ascii="Times New Roman" w:hAnsi="Times New Roman"/>
                <w:sz w:val="24"/>
                <w:szCs w:val="24"/>
              </w:rPr>
            </w:pPr>
          </w:p>
        </w:tc>
        <w:tc>
          <w:tcPr>
            <w:tcW w:w="901" w:type="dxa"/>
          </w:tcPr>
          <w:p w:rsidR="009C6916" w:rsidRPr="00641105" w:rsidRDefault="009C6916" w:rsidP="00F53B11">
            <w:pPr>
              <w:spacing w:after="0" w:line="312" w:lineRule="auto"/>
              <w:jc w:val="both"/>
              <w:rPr>
                <w:rFonts w:ascii="Times New Roman" w:hAnsi="Times New Roman"/>
                <w:sz w:val="24"/>
                <w:szCs w:val="24"/>
              </w:rPr>
            </w:pPr>
          </w:p>
        </w:tc>
        <w:tc>
          <w:tcPr>
            <w:tcW w:w="1093" w:type="dxa"/>
          </w:tcPr>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p>
        </w:tc>
        <w:tc>
          <w:tcPr>
            <w:tcW w:w="900" w:type="dxa"/>
          </w:tcPr>
          <w:p w:rsidR="009C6916" w:rsidRPr="00641105" w:rsidRDefault="009C6916" w:rsidP="00F53B11">
            <w:pPr>
              <w:spacing w:after="0" w:line="312" w:lineRule="auto"/>
              <w:jc w:val="both"/>
              <w:rPr>
                <w:rFonts w:ascii="Times New Roman" w:hAnsi="Times New Roman"/>
                <w:sz w:val="24"/>
                <w:szCs w:val="24"/>
              </w:rPr>
            </w:pPr>
          </w:p>
        </w:tc>
        <w:tc>
          <w:tcPr>
            <w:tcW w:w="1321" w:type="dxa"/>
          </w:tcPr>
          <w:p w:rsidR="009C6916" w:rsidRPr="00641105" w:rsidRDefault="009C6916" w:rsidP="00F53B11">
            <w:pPr>
              <w:spacing w:after="0" w:line="312" w:lineRule="auto"/>
              <w:jc w:val="both"/>
              <w:rPr>
                <w:rFonts w:ascii="Times New Roman" w:hAnsi="Times New Roman"/>
                <w:sz w:val="24"/>
                <w:szCs w:val="24"/>
              </w:rPr>
            </w:pPr>
          </w:p>
        </w:tc>
      </w:tr>
      <w:tr w:rsidR="009C6916" w:rsidRPr="00641105" w:rsidTr="00F53B11">
        <w:trPr>
          <w:trHeight w:val="268"/>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Трудовое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81</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9,8 %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54</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54</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- 76</w:t>
            </w:r>
          </w:p>
        </w:tc>
      </w:tr>
      <w:tr w:rsidR="009C6916" w:rsidRPr="00641105" w:rsidTr="00F53B11">
        <w:trPr>
          <w:trHeight w:val="333"/>
        </w:trPr>
        <w:tc>
          <w:tcPr>
            <w:tcW w:w="1856" w:type="dxa"/>
            <w:gridSpan w:val="2"/>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Уголовное право</w:t>
            </w:r>
          </w:p>
        </w:tc>
        <w:tc>
          <w:tcPr>
            <w:tcW w:w="703"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21</w:t>
            </w:r>
          </w:p>
        </w:tc>
        <w:tc>
          <w:tcPr>
            <w:tcW w:w="817"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2,6 %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3, 4</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72</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72</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20</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26</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- 98</w:t>
            </w:r>
          </w:p>
        </w:tc>
      </w:tr>
      <w:tr w:rsidR="009C6916" w:rsidRPr="00641105" w:rsidTr="00F53B11">
        <w:trPr>
          <w:trHeight w:val="416"/>
        </w:trPr>
        <w:tc>
          <w:tcPr>
            <w:tcW w:w="596" w:type="dxa"/>
            <w:vMerge w:val="restart"/>
            <w:textDirection w:val="btLr"/>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Процессуальные вопросы</w:t>
            </w:r>
          </w:p>
        </w:tc>
        <w:tc>
          <w:tcPr>
            <w:tcW w:w="1260"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Гражд.-проц. право</w:t>
            </w:r>
          </w:p>
        </w:tc>
        <w:tc>
          <w:tcPr>
            <w:tcW w:w="703" w:type="dxa"/>
            <w:vMerge w:val="restart"/>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52</w:t>
            </w:r>
          </w:p>
        </w:tc>
        <w:tc>
          <w:tcPr>
            <w:tcW w:w="817" w:type="dxa"/>
            <w:vMerge w:val="restart"/>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6,3 %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3, 4 </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xml:space="preserve">46 </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44</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- 58</w:t>
            </w:r>
          </w:p>
        </w:tc>
      </w:tr>
      <w:tr w:rsidR="009C6916" w:rsidRPr="00641105" w:rsidTr="00F53B11">
        <w:trPr>
          <w:trHeight w:val="416"/>
        </w:trPr>
        <w:tc>
          <w:tcPr>
            <w:tcW w:w="596" w:type="dxa"/>
            <w:vMerge/>
          </w:tcPr>
          <w:p w:rsidR="009C6916" w:rsidRPr="00641105" w:rsidRDefault="009C6916" w:rsidP="00F53B11">
            <w:pPr>
              <w:spacing w:after="0" w:line="312" w:lineRule="auto"/>
              <w:rPr>
                <w:rFonts w:ascii="Times New Roman" w:hAnsi="Times New Roman"/>
                <w:sz w:val="24"/>
                <w:szCs w:val="24"/>
              </w:rPr>
            </w:pPr>
          </w:p>
        </w:tc>
        <w:tc>
          <w:tcPr>
            <w:tcW w:w="1260" w:type="dxa"/>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Угол.-проц. право</w:t>
            </w:r>
          </w:p>
        </w:tc>
        <w:tc>
          <w:tcPr>
            <w:tcW w:w="703" w:type="dxa"/>
            <w:vMerge/>
          </w:tcPr>
          <w:p w:rsidR="009C6916" w:rsidRPr="00641105" w:rsidRDefault="009C6916" w:rsidP="00F53B11">
            <w:pPr>
              <w:spacing w:after="0" w:line="312" w:lineRule="auto"/>
              <w:rPr>
                <w:rFonts w:ascii="Times New Roman" w:hAnsi="Times New Roman"/>
                <w:sz w:val="24"/>
                <w:szCs w:val="24"/>
              </w:rPr>
            </w:pPr>
          </w:p>
        </w:tc>
        <w:tc>
          <w:tcPr>
            <w:tcW w:w="817" w:type="dxa"/>
            <w:vMerge/>
          </w:tcPr>
          <w:p w:rsidR="009C6916" w:rsidRPr="00641105" w:rsidRDefault="009C6916" w:rsidP="00F53B11">
            <w:pPr>
              <w:spacing w:after="0" w:line="312" w:lineRule="auto"/>
              <w:jc w:val="both"/>
              <w:rPr>
                <w:rFonts w:ascii="Times New Roman" w:hAnsi="Times New Roman"/>
                <w:sz w:val="24"/>
                <w:szCs w:val="24"/>
              </w:rPr>
            </w:pP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w:t>
            </w: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46</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44</w:t>
            </w:r>
          </w:p>
        </w:tc>
        <w:tc>
          <w:tcPr>
            <w:tcW w:w="1093"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w:t>
            </w: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18</w:t>
            </w:r>
          </w:p>
        </w:tc>
        <w:tc>
          <w:tcPr>
            <w:tcW w:w="132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- 58</w:t>
            </w:r>
          </w:p>
        </w:tc>
      </w:tr>
      <w:tr w:rsidR="009C6916" w:rsidRPr="00641105" w:rsidTr="00F53B11">
        <w:trPr>
          <w:trHeight w:val="360"/>
        </w:trPr>
        <w:tc>
          <w:tcPr>
            <w:tcW w:w="1856" w:type="dxa"/>
            <w:gridSpan w:val="2"/>
            <w:vMerge w:val="restart"/>
          </w:tcPr>
          <w:p w:rsidR="009C6916" w:rsidRPr="00641105" w:rsidRDefault="009C6916" w:rsidP="00F53B11">
            <w:pPr>
              <w:spacing w:after="0" w:line="312" w:lineRule="auto"/>
              <w:rPr>
                <w:rFonts w:ascii="Times New Roman" w:hAnsi="Times New Roman"/>
                <w:sz w:val="24"/>
                <w:szCs w:val="24"/>
              </w:rPr>
            </w:pPr>
          </w:p>
        </w:tc>
        <w:tc>
          <w:tcPr>
            <w:tcW w:w="703" w:type="dxa"/>
            <w:vMerge w:val="restart"/>
          </w:tcPr>
          <w:p w:rsidR="009C6916" w:rsidRPr="00641105" w:rsidRDefault="009C6916" w:rsidP="00F53B11">
            <w:pPr>
              <w:spacing w:after="0" w:line="312" w:lineRule="auto"/>
              <w:rPr>
                <w:rFonts w:ascii="Times New Roman" w:hAnsi="Times New Roman"/>
                <w:sz w:val="24"/>
                <w:szCs w:val="24"/>
              </w:rPr>
            </w:pPr>
            <w:r w:rsidRPr="00641105">
              <w:rPr>
                <w:rFonts w:ascii="Times New Roman" w:hAnsi="Times New Roman"/>
                <w:sz w:val="24"/>
                <w:szCs w:val="24"/>
              </w:rPr>
              <w:t>823</w:t>
            </w:r>
          </w:p>
        </w:tc>
        <w:tc>
          <w:tcPr>
            <w:tcW w:w="817" w:type="dxa"/>
            <w:vMerge w:val="restart"/>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100 %</w:t>
            </w:r>
          </w:p>
        </w:tc>
        <w:tc>
          <w:tcPr>
            <w:tcW w:w="735" w:type="dxa"/>
            <w:vMerge w:val="restart"/>
          </w:tcPr>
          <w:p w:rsidR="009C6916" w:rsidRPr="00641105" w:rsidRDefault="009C6916" w:rsidP="00F53B11">
            <w:pPr>
              <w:spacing w:after="0" w:line="312" w:lineRule="auto"/>
              <w:jc w:val="both"/>
              <w:rPr>
                <w:rFonts w:ascii="Times New Roman" w:hAnsi="Times New Roman"/>
                <w:sz w:val="24"/>
                <w:szCs w:val="24"/>
              </w:rPr>
            </w:pPr>
          </w:p>
        </w:tc>
        <w:tc>
          <w:tcPr>
            <w:tcW w:w="735"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488</w:t>
            </w:r>
          </w:p>
        </w:tc>
        <w:tc>
          <w:tcPr>
            <w:tcW w:w="901"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522</w:t>
            </w:r>
          </w:p>
        </w:tc>
        <w:tc>
          <w:tcPr>
            <w:tcW w:w="1093" w:type="dxa"/>
            <w:vMerge w:val="restart"/>
          </w:tcPr>
          <w:p w:rsidR="009C6916" w:rsidRPr="00641105" w:rsidRDefault="009C6916" w:rsidP="00F53B11">
            <w:pPr>
              <w:spacing w:after="0" w:line="312" w:lineRule="auto"/>
              <w:jc w:val="both"/>
              <w:rPr>
                <w:rFonts w:ascii="Times New Roman" w:hAnsi="Times New Roman"/>
                <w:sz w:val="24"/>
                <w:szCs w:val="24"/>
              </w:rPr>
            </w:pPr>
          </w:p>
        </w:tc>
        <w:tc>
          <w:tcPr>
            <w:tcW w:w="72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154</w:t>
            </w:r>
          </w:p>
        </w:tc>
        <w:tc>
          <w:tcPr>
            <w:tcW w:w="900" w:type="dxa"/>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196</w:t>
            </w:r>
          </w:p>
        </w:tc>
        <w:tc>
          <w:tcPr>
            <w:tcW w:w="1321" w:type="dxa"/>
            <w:vMerge w:val="restart"/>
          </w:tcPr>
          <w:p w:rsidR="009C6916" w:rsidRPr="00641105" w:rsidRDefault="009C6916" w:rsidP="00F53B11">
            <w:pPr>
              <w:spacing w:after="0" w:line="312" w:lineRule="auto"/>
              <w:jc w:val="both"/>
              <w:rPr>
                <w:rFonts w:ascii="Times New Roman" w:hAnsi="Times New Roman"/>
                <w:sz w:val="24"/>
                <w:szCs w:val="24"/>
              </w:rPr>
            </w:pPr>
            <w:r w:rsidRPr="00641105">
              <w:rPr>
                <w:rFonts w:ascii="Times New Roman" w:hAnsi="Times New Roman"/>
                <w:sz w:val="24"/>
                <w:szCs w:val="24"/>
              </w:rPr>
              <w:t>- 660</w:t>
            </w:r>
          </w:p>
        </w:tc>
      </w:tr>
      <w:tr w:rsidR="009C6916" w:rsidRPr="00641105" w:rsidTr="00F53B11">
        <w:trPr>
          <w:trHeight w:val="360"/>
        </w:trPr>
        <w:tc>
          <w:tcPr>
            <w:tcW w:w="1856" w:type="dxa"/>
            <w:gridSpan w:val="2"/>
            <w:vMerge/>
          </w:tcPr>
          <w:p w:rsidR="009C6916" w:rsidRPr="00641105" w:rsidRDefault="009C6916" w:rsidP="00F53B11">
            <w:pPr>
              <w:spacing w:after="0" w:line="312" w:lineRule="auto"/>
              <w:rPr>
                <w:rFonts w:ascii="Times New Roman" w:hAnsi="Times New Roman"/>
                <w:sz w:val="24"/>
                <w:szCs w:val="24"/>
              </w:rPr>
            </w:pPr>
          </w:p>
        </w:tc>
        <w:tc>
          <w:tcPr>
            <w:tcW w:w="703" w:type="dxa"/>
            <w:vMerge/>
          </w:tcPr>
          <w:p w:rsidR="009C6916" w:rsidRPr="00641105" w:rsidRDefault="009C6916" w:rsidP="00F53B11">
            <w:pPr>
              <w:spacing w:after="0" w:line="312" w:lineRule="auto"/>
              <w:rPr>
                <w:rFonts w:ascii="Times New Roman" w:hAnsi="Times New Roman"/>
                <w:sz w:val="24"/>
                <w:szCs w:val="24"/>
              </w:rPr>
            </w:pPr>
          </w:p>
        </w:tc>
        <w:tc>
          <w:tcPr>
            <w:tcW w:w="817" w:type="dxa"/>
            <w:vMerge/>
          </w:tcPr>
          <w:p w:rsidR="009C6916" w:rsidRPr="00641105" w:rsidRDefault="009C6916" w:rsidP="00F53B11">
            <w:pPr>
              <w:spacing w:after="0" w:line="312" w:lineRule="auto"/>
              <w:jc w:val="both"/>
              <w:rPr>
                <w:rFonts w:ascii="Times New Roman" w:hAnsi="Times New Roman"/>
                <w:sz w:val="24"/>
                <w:szCs w:val="24"/>
              </w:rPr>
            </w:pPr>
          </w:p>
        </w:tc>
        <w:tc>
          <w:tcPr>
            <w:tcW w:w="735" w:type="dxa"/>
            <w:vMerge/>
          </w:tcPr>
          <w:p w:rsidR="009C6916" w:rsidRPr="00641105" w:rsidRDefault="009C6916" w:rsidP="00F53B11">
            <w:pPr>
              <w:spacing w:after="0" w:line="312" w:lineRule="auto"/>
              <w:jc w:val="both"/>
              <w:rPr>
                <w:rFonts w:ascii="Times New Roman" w:hAnsi="Times New Roman"/>
                <w:sz w:val="24"/>
                <w:szCs w:val="24"/>
              </w:rPr>
            </w:pPr>
          </w:p>
        </w:tc>
        <w:tc>
          <w:tcPr>
            <w:tcW w:w="1636" w:type="dxa"/>
            <w:gridSpan w:val="2"/>
          </w:tcPr>
          <w:p w:rsidR="009C6916" w:rsidRPr="00641105" w:rsidRDefault="009C6916" w:rsidP="00F53B11">
            <w:pPr>
              <w:spacing w:after="0" w:line="312" w:lineRule="auto"/>
              <w:jc w:val="center"/>
              <w:rPr>
                <w:rFonts w:ascii="Times New Roman" w:hAnsi="Times New Roman"/>
                <w:sz w:val="24"/>
                <w:szCs w:val="24"/>
              </w:rPr>
            </w:pPr>
            <w:r w:rsidRPr="00641105">
              <w:rPr>
                <w:rFonts w:ascii="Times New Roman" w:hAnsi="Times New Roman"/>
                <w:sz w:val="24"/>
                <w:szCs w:val="24"/>
              </w:rPr>
              <w:t>1010</w:t>
            </w:r>
          </w:p>
        </w:tc>
        <w:tc>
          <w:tcPr>
            <w:tcW w:w="1093" w:type="dxa"/>
            <w:vMerge/>
          </w:tcPr>
          <w:p w:rsidR="009C6916" w:rsidRPr="00641105" w:rsidRDefault="009C6916" w:rsidP="00F53B11">
            <w:pPr>
              <w:spacing w:after="0" w:line="312" w:lineRule="auto"/>
              <w:jc w:val="both"/>
              <w:rPr>
                <w:rFonts w:ascii="Times New Roman" w:hAnsi="Times New Roman"/>
                <w:sz w:val="24"/>
                <w:szCs w:val="24"/>
              </w:rPr>
            </w:pPr>
          </w:p>
        </w:tc>
        <w:tc>
          <w:tcPr>
            <w:tcW w:w="1620" w:type="dxa"/>
            <w:gridSpan w:val="2"/>
          </w:tcPr>
          <w:p w:rsidR="009C6916" w:rsidRPr="00641105" w:rsidRDefault="009C6916" w:rsidP="00F53B11">
            <w:pPr>
              <w:spacing w:after="0" w:line="312" w:lineRule="auto"/>
              <w:jc w:val="center"/>
              <w:rPr>
                <w:rFonts w:ascii="Times New Roman" w:hAnsi="Times New Roman"/>
                <w:sz w:val="24"/>
                <w:szCs w:val="24"/>
              </w:rPr>
            </w:pPr>
            <w:r w:rsidRPr="00641105">
              <w:rPr>
                <w:rFonts w:ascii="Times New Roman" w:hAnsi="Times New Roman"/>
                <w:sz w:val="24"/>
                <w:szCs w:val="24"/>
              </w:rPr>
              <w:t>350</w:t>
            </w:r>
          </w:p>
        </w:tc>
        <w:tc>
          <w:tcPr>
            <w:tcW w:w="1321" w:type="dxa"/>
            <w:vMerge/>
          </w:tcPr>
          <w:p w:rsidR="009C6916" w:rsidRPr="00641105" w:rsidRDefault="009C6916" w:rsidP="00F53B11">
            <w:pPr>
              <w:spacing w:after="0" w:line="312" w:lineRule="auto"/>
              <w:jc w:val="both"/>
              <w:rPr>
                <w:rFonts w:ascii="Times New Roman" w:hAnsi="Times New Roman"/>
                <w:sz w:val="24"/>
                <w:szCs w:val="24"/>
              </w:rPr>
            </w:pPr>
          </w:p>
        </w:tc>
      </w:tr>
    </w:tbl>
    <w:p w:rsidR="009C6916" w:rsidRPr="00DB2995" w:rsidRDefault="009C6916" w:rsidP="009C6916">
      <w:pPr>
        <w:spacing w:after="0" w:line="312" w:lineRule="auto"/>
        <w:jc w:val="both"/>
        <w:rPr>
          <w:rFonts w:ascii="Times New Roman" w:hAnsi="Times New Roman"/>
          <w:sz w:val="24"/>
          <w:szCs w:val="24"/>
        </w:rPr>
      </w:pP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Таким образом, нагрузка по правовым предметам, которые оказались востребованными в связи с обращениями клиентов в “Юридическую клинику” вуза, снизилась почти в три раза при переходе на обучение по направлению бакалавриата. Причём, по самой актуальной отрасли права – гражданскому праву, с учётом наследственного права, нагрузка снизилась с 254 часов, изучаемых в течение трёх семестров, до 64 часов, осваиваемых в течение 2 семестров, т.е. практически в 4 раза. Даже общее количество правовых дисциплин, изучаемых по бакалавриату, снизилось в 1,75 раза в сравнении с нагрузками по специалитету.</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При таком поверхностном изучении правовых дисциплин студентами факультета истории и права по программам бакалавриата, несомненно, возникнут серьёзные сложности в работе “Юридической клиники” педагогического вуза, одного из немногих, зарегистрированных на сайте “Клиническое юридическое образование”</w:t>
      </w:r>
      <w:r w:rsidRPr="00580934">
        <w:rPr>
          <w:rStyle w:val="a5"/>
          <w:rFonts w:ascii="Times New Roman" w:hAnsi="Times New Roman"/>
          <w:sz w:val="28"/>
          <w:szCs w:val="28"/>
        </w:rPr>
        <w:footnoteReference w:id="3"/>
      </w:r>
      <w:r w:rsidRPr="00580934">
        <w:rPr>
          <w:rFonts w:ascii="Times New Roman" w:hAnsi="Times New Roman"/>
          <w:sz w:val="28"/>
          <w:szCs w:val="28"/>
        </w:rPr>
        <w:t xml:space="preserve">, что вполне естественно, если не устранить пробелы в знаниях путём дополнительного изучения необходимых отраслей права в рамках работы клиники, скажется и на качестве </w:t>
      </w:r>
      <w:r w:rsidRPr="00580934">
        <w:rPr>
          <w:rFonts w:ascii="Times New Roman" w:hAnsi="Times New Roman"/>
          <w:sz w:val="28"/>
          <w:szCs w:val="28"/>
        </w:rPr>
        <w:lastRenderedPageBreak/>
        <w:t>оказываемой гражданам бесплатной юридической помощи,  что абсолютно недопустимо.</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Бакалавриат снижает качество образования, в том числе по юридическим дисциплинам… Ранее студенты приходили работать в ЮК, в большинстве своём, на 3 – 4 курсах, что позволяло им в течение первого года обучения в клинике проходить стажировку у опытных стажёров клиники, а на втором – уже начать оказывать помощь самостоятельно.</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 настоящее время при переходе на обучение по Болонской системе, снизилась существенно учебная нагрузка по правовым предметам, поскольку целью образования является, что предусмотрено государственными образовательными стандартами, к сожалению, лишь </w:t>
      </w:r>
      <w:r w:rsidRPr="00580934">
        <w:rPr>
          <w:rFonts w:ascii="Times New Roman" w:hAnsi="Times New Roman"/>
          <w:i/>
          <w:sz w:val="28"/>
          <w:szCs w:val="28"/>
        </w:rPr>
        <w:t>получение компетенций</w:t>
      </w:r>
      <w:r w:rsidRPr="00580934">
        <w:rPr>
          <w:rFonts w:ascii="Times New Roman" w:hAnsi="Times New Roman"/>
          <w:sz w:val="28"/>
          <w:szCs w:val="28"/>
        </w:rPr>
        <w:t xml:space="preserve">, а не качественных знаний… И, как печальный итог – боязнь студентов – будущих педагогов, изучающих право, применять полученные ими обрывки правовой информации, позволяющие получить лишь общее понятие о праве, на практике… Реальность такова, что, за пятилетнее существование “Юридической клиники” ФГБОУ ВПО “Шадринский государственный педагогический институт”, даже до перехода на обучение по системе бакалавриата, брали на себя смелость прийти на обучение в клинику лишь единицы лучших студентов, большинство из которых по окончании вуза получали дипломы с отличием, то в настоящее время приходится констатировать, что даже на 3 курсе студенты опасаются потенциальной возможности применения получаемых знаний, что продолжается и на последнем курсе… </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Хотелось бы согласиться с мнением, что Болонское образование по своей сути - “это настоящая бомба замедленного действия. Вот только это ещё и бумеранг, и дело в том, что когда верхушка начинает ломать образование и, соответственно, занижать общий уровень нации – к их же детям это и возвращается бумерангом…”</w:t>
      </w:r>
      <w:r w:rsidRPr="00580934">
        <w:rPr>
          <w:rStyle w:val="a5"/>
          <w:rFonts w:ascii="Times New Roman" w:hAnsi="Times New Roman"/>
          <w:sz w:val="28"/>
          <w:szCs w:val="28"/>
        </w:rPr>
        <w:footnoteReference w:id="4"/>
      </w:r>
      <w:r w:rsidRPr="00580934">
        <w:rPr>
          <w:rFonts w:ascii="Times New Roman" w:hAnsi="Times New Roman"/>
          <w:sz w:val="28"/>
          <w:szCs w:val="28"/>
        </w:rPr>
        <w:t>.</w:t>
      </w:r>
    </w:p>
    <w:p w:rsidR="009C6916" w:rsidRPr="00580934"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К величайшему сожалению, если ничего не будет предпринято для более глубокого изучения правовых дисциплин студентами факультета истории и права “Шадринского государственного педагогического института”, готовящихся стать учителями права, это может закончиться тем, что существование клиники в “ШГПИ”, как и юридических клиник в других </w:t>
      </w:r>
      <w:r w:rsidRPr="00580934">
        <w:rPr>
          <w:rFonts w:ascii="Times New Roman" w:hAnsi="Times New Roman"/>
          <w:sz w:val="28"/>
          <w:szCs w:val="28"/>
        </w:rPr>
        <w:lastRenderedPageBreak/>
        <w:t>педагогических вузах России, может закончиться, несмотря на успешное их функционирование в рамках европейского клинического юридического движения…</w:t>
      </w:r>
    </w:p>
    <w:p w:rsidR="009C6916" w:rsidRDefault="009C6916" w:rsidP="009C6916">
      <w:pPr>
        <w:spacing w:after="0" w:line="312" w:lineRule="auto"/>
        <w:ind w:firstLine="567"/>
        <w:jc w:val="both"/>
        <w:rPr>
          <w:rFonts w:ascii="Times New Roman" w:hAnsi="Times New Roman"/>
          <w:sz w:val="28"/>
          <w:szCs w:val="28"/>
        </w:rPr>
      </w:pPr>
      <w:r w:rsidRPr="00580934">
        <w:rPr>
          <w:rFonts w:ascii="Times New Roman" w:hAnsi="Times New Roman"/>
          <w:sz w:val="28"/>
          <w:szCs w:val="28"/>
        </w:rPr>
        <w:t>Но жизнь покажет, сможем ли мы преодолеть последствия реформ российского образования… И хотелось бы надеяться, что высказанные в данном материале опасения не сбудутся!</w:t>
      </w:r>
    </w:p>
    <w:p w:rsidR="009C6916" w:rsidRDefault="009C6916" w:rsidP="009C6916">
      <w:pPr>
        <w:spacing w:after="0" w:line="312" w:lineRule="auto"/>
        <w:ind w:firstLine="567"/>
        <w:jc w:val="center"/>
        <w:rPr>
          <w:rFonts w:ascii="Times New Roman" w:hAnsi="Times New Roman"/>
          <w:sz w:val="28"/>
          <w:szCs w:val="28"/>
        </w:rPr>
      </w:pPr>
    </w:p>
    <w:p w:rsidR="009C6916" w:rsidRPr="005E1E89" w:rsidRDefault="009C6916" w:rsidP="009C6916">
      <w:pPr>
        <w:spacing w:after="0" w:line="360" w:lineRule="auto"/>
        <w:ind w:firstLine="567"/>
        <w:jc w:val="center"/>
        <w:rPr>
          <w:rFonts w:ascii="Times New Roman" w:hAnsi="Times New Roman"/>
          <w:sz w:val="24"/>
          <w:szCs w:val="24"/>
        </w:rPr>
      </w:pPr>
      <w:r w:rsidRPr="005E1E89">
        <w:rPr>
          <w:rFonts w:ascii="Times New Roman" w:hAnsi="Times New Roman"/>
          <w:sz w:val="24"/>
          <w:szCs w:val="24"/>
        </w:rPr>
        <w:t>ЛИТЕРАТУРА</w:t>
      </w:r>
    </w:p>
    <w:p w:rsidR="009C6916" w:rsidRPr="005E1E89" w:rsidRDefault="009C6916" w:rsidP="009C6916">
      <w:pPr>
        <w:pStyle w:val="a3"/>
        <w:numPr>
          <w:ilvl w:val="0"/>
          <w:numId w:val="1"/>
        </w:numPr>
        <w:tabs>
          <w:tab w:val="left" w:pos="1134"/>
        </w:tabs>
        <w:spacing w:line="360" w:lineRule="auto"/>
        <w:ind w:left="0" w:firstLine="709"/>
        <w:jc w:val="both"/>
        <w:rPr>
          <w:rFonts w:ascii="Times New Roman" w:hAnsi="Times New Roman"/>
          <w:sz w:val="24"/>
          <w:szCs w:val="24"/>
        </w:rPr>
      </w:pPr>
      <w:r w:rsidRPr="005E1E89">
        <w:rPr>
          <w:rFonts w:ascii="Times New Roman" w:hAnsi="Times New Roman"/>
          <w:sz w:val="24"/>
          <w:szCs w:val="24"/>
        </w:rPr>
        <w:t>Клиническое юридическое образование [Электронный ресурс]</w:t>
      </w:r>
      <w:r>
        <w:rPr>
          <w:rFonts w:ascii="Times New Roman" w:hAnsi="Times New Roman"/>
          <w:sz w:val="24"/>
          <w:szCs w:val="24"/>
        </w:rPr>
        <w:t>.</w:t>
      </w:r>
      <w:r w:rsidRPr="005E1E89">
        <w:rPr>
          <w:rFonts w:ascii="Times New Roman" w:hAnsi="Times New Roman"/>
          <w:sz w:val="24"/>
          <w:szCs w:val="24"/>
        </w:rPr>
        <w:t xml:space="preserve"> – URL: </w:t>
      </w:r>
      <w:hyperlink r:id="rId8" w:history="1">
        <w:r w:rsidRPr="005E1E89">
          <w:rPr>
            <w:rStyle w:val="a7"/>
            <w:rFonts w:ascii="Times New Roman" w:hAnsi="Times New Roman"/>
            <w:sz w:val="24"/>
            <w:szCs w:val="24"/>
          </w:rPr>
          <w:t>http://www.lawclinic.ru</w:t>
        </w:r>
      </w:hyperlink>
      <w:r w:rsidRPr="005E1E89">
        <w:rPr>
          <w:rFonts w:ascii="Times New Roman" w:hAnsi="Times New Roman"/>
          <w:sz w:val="24"/>
          <w:szCs w:val="24"/>
        </w:rPr>
        <w:t xml:space="preserve"> (</w:t>
      </w:r>
      <w:r>
        <w:rPr>
          <w:rFonts w:ascii="Times New Roman" w:hAnsi="Times New Roman"/>
          <w:sz w:val="24"/>
          <w:szCs w:val="24"/>
        </w:rPr>
        <w:t>д</w:t>
      </w:r>
      <w:r w:rsidRPr="005E1E89">
        <w:rPr>
          <w:rFonts w:ascii="Times New Roman" w:hAnsi="Times New Roman"/>
          <w:sz w:val="24"/>
          <w:szCs w:val="24"/>
        </w:rPr>
        <w:t>ата обращения 10.10.2012)</w:t>
      </w:r>
    </w:p>
    <w:p w:rsidR="009C6916" w:rsidRPr="005E1E89" w:rsidRDefault="009C6916" w:rsidP="009C6916">
      <w:pPr>
        <w:pStyle w:val="a3"/>
        <w:numPr>
          <w:ilvl w:val="0"/>
          <w:numId w:val="1"/>
        </w:numPr>
        <w:tabs>
          <w:tab w:val="left" w:pos="1134"/>
        </w:tabs>
        <w:spacing w:line="360" w:lineRule="auto"/>
        <w:ind w:left="0" w:firstLine="709"/>
        <w:jc w:val="both"/>
        <w:rPr>
          <w:rFonts w:ascii="Times New Roman" w:hAnsi="Times New Roman"/>
          <w:sz w:val="24"/>
          <w:szCs w:val="24"/>
        </w:rPr>
      </w:pPr>
      <w:r w:rsidRPr="005E1E89">
        <w:rPr>
          <w:rFonts w:ascii="Times New Roman" w:hAnsi="Times New Roman"/>
          <w:sz w:val="24"/>
          <w:szCs w:val="24"/>
        </w:rPr>
        <w:t>Минусы Болонской системы образования в России [Электронный ресурс]</w:t>
      </w:r>
      <w:r>
        <w:rPr>
          <w:rFonts w:ascii="Times New Roman" w:hAnsi="Times New Roman"/>
          <w:sz w:val="24"/>
          <w:szCs w:val="24"/>
        </w:rPr>
        <w:t>.</w:t>
      </w:r>
      <w:r w:rsidRPr="005E1E89">
        <w:rPr>
          <w:rFonts w:ascii="Times New Roman" w:hAnsi="Times New Roman"/>
          <w:sz w:val="24"/>
          <w:szCs w:val="24"/>
        </w:rPr>
        <w:t xml:space="preserve"> – URL: </w:t>
      </w:r>
      <w:hyperlink r:id="rId9" w:history="1">
        <w:r w:rsidRPr="005E1E89">
          <w:rPr>
            <w:rStyle w:val="a7"/>
            <w:rFonts w:ascii="Times New Roman" w:hAnsi="Times New Roman"/>
            <w:sz w:val="24"/>
            <w:szCs w:val="24"/>
          </w:rPr>
          <w:t>http://www.eduhelp.info/page/minusy-bolonskoj-sistemy-obrazovanija-v-rossii</w:t>
        </w:r>
      </w:hyperlink>
      <w:r w:rsidRPr="005E1E89">
        <w:rPr>
          <w:rStyle w:val="apple-converted-space"/>
          <w:rFonts w:ascii="Times New Roman" w:hAnsi="Times New Roman"/>
          <w:sz w:val="24"/>
          <w:szCs w:val="24"/>
        </w:rPr>
        <w:t>  (</w:t>
      </w:r>
      <w:r>
        <w:rPr>
          <w:rStyle w:val="apple-converted-space"/>
          <w:rFonts w:ascii="Times New Roman" w:hAnsi="Times New Roman"/>
          <w:sz w:val="24"/>
          <w:szCs w:val="24"/>
        </w:rPr>
        <w:t>д</w:t>
      </w:r>
      <w:r w:rsidRPr="005E1E89">
        <w:rPr>
          <w:rStyle w:val="apple-converted-space"/>
          <w:rFonts w:ascii="Times New Roman" w:hAnsi="Times New Roman"/>
          <w:sz w:val="24"/>
          <w:szCs w:val="24"/>
        </w:rPr>
        <w:t>ата обращения: 16.10.2013)</w:t>
      </w:r>
    </w:p>
    <w:p w:rsidR="009C6916" w:rsidRPr="005E1E89" w:rsidRDefault="009C6916" w:rsidP="009C6916">
      <w:pPr>
        <w:pStyle w:val="a3"/>
        <w:numPr>
          <w:ilvl w:val="0"/>
          <w:numId w:val="1"/>
        </w:numPr>
        <w:tabs>
          <w:tab w:val="left" w:pos="1134"/>
        </w:tabs>
        <w:spacing w:line="360" w:lineRule="auto"/>
        <w:ind w:left="0" w:firstLine="709"/>
        <w:jc w:val="both"/>
        <w:rPr>
          <w:rFonts w:ascii="Times New Roman" w:hAnsi="Times New Roman"/>
          <w:sz w:val="24"/>
          <w:szCs w:val="24"/>
        </w:rPr>
      </w:pPr>
      <w:r w:rsidRPr="005E1E89">
        <w:rPr>
          <w:rFonts w:ascii="Times New Roman" w:hAnsi="Times New Roman"/>
          <w:sz w:val="24"/>
          <w:szCs w:val="24"/>
        </w:rPr>
        <w:t>Центр развития юридических клиник [Электронный ресурс]</w:t>
      </w:r>
      <w:r>
        <w:rPr>
          <w:rFonts w:ascii="Times New Roman" w:hAnsi="Times New Roman"/>
          <w:sz w:val="24"/>
          <w:szCs w:val="24"/>
        </w:rPr>
        <w:t>.</w:t>
      </w:r>
      <w:r w:rsidRPr="005E1E89">
        <w:rPr>
          <w:rFonts w:ascii="Times New Roman" w:hAnsi="Times New Roman"/>
          <w:sz w:val="24"/>
          <w:szCs w:val="24"/>
        </w:rPr>
        <w:t xml:space="preserve"> – URL: </w:t>
      </w:r>
      <w:hyperlink r:id="rId10" w:tgtFrame="_blank" w:history="1">
        <w:r w:rsidRPr="005E1E89">
          <w:rPr>
            <w:rStyle w:val="a7"/>
            <w:rFonts w:ascii="Times New Roman" w:hAnsi="Times New Roman"/>
            <w:sz w:val="24"/>
            <w:szCs w:val="24"/>
            <w:shd w:val="clear" w:color="auto" w:fill="FFFFFF"/>
          </w:rPr>
          <w:t>sc.law.msu.ru/centr</w:t>
        </w:r>
      </w:hyperlink>
      <w:r w:rsidRPr="005E1E89">
        <w:rPr>
          <w:rStyle w:val="block-infoleft"/>
          <w:rFonts w:ascii="Times New Roman" w:hAnsi="Times New Roman"/>
          <w:sz w:val="24"/>
          <w:szCs w:val="24"/>
          <w:shd w:val="clear" w:color="auto" w:fill="FFFFFF"/>
        </w:rPr>
        <w:t xml:space="preserve"> (</w:t>
      </w:r>
      <w:r>
        <w:rPr>
          <w:rStyle w:val="block-infoleft"/>
          <w:rFonts w:ascii="Times New Roman" w:hAnsi="Times New Roman"/>
          <w:sz w:val="24"/>
          <w:szCs w:val="24"/>
          <w:shd w:val="clear" w:color="auto" w:fill="FFFFFF"/>
        </w:rPr>
        <w:t>д</w:t>
      </w:r>
      <w:r w:rsidRPr="005E1E89">
        <w:rPr>
          <w:rStyle w:val="block-infoleft"/>
          <w:rFonts w:ascii="Times New Roman" w:hAnsi="Times New Roman"/>
          <w:sz w:val="24"/>
          <w:szCs w:val="24"/>
          <w:shd w:val="clear" w:color="auto" w:fill="FFFFFF"/>
        </w:rPr>
        <w:t>ата обращения 19.10.2013)</w:t>
      </w:r>
    </w:p>
    <w:p w:rsidR="009C6916" w:rsidRDefault="009C6916" w:rsidP="009C6916">
      <w:pPr>
        <w:spacing w:after="0" w:line="312" w:lineRule="auto"/>
        <w:ind w:firstLine="567"/>
        <w:rPr>
          <w:rFonts w:ascii="Times New Roman" w:hAnsi="Times New Roman"/>
          <w:sz w:val="28"/>
          <w:szCs w:val="28"/>
        </w:rPr>
      </w:pPr>
    </w:p>
    <w:p w:rsidR="009C6916" w:rsidRPr="00580934" w:rsidRDefault="009C6916" w:rsidP="009C6916">
      <w:pPr>
        <w:spacing w:after="0" w:line="312" w:lineRule="auto"/>
        <w:ind w:firstLine="567"/>
        <w:rPr>
          <w:rFonts w:ascii="Times New Roman" w:hAnsi="Times New Roman"/>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B2" w:rsidRDefault="00646BB2" w:rsidP="009C6916">
      <w:pPr>
        <w:spacing w:after="0" w:line="240" w:lineRule="auto"/>
      </w:pPr>
      <w:r>
        <w:separator/>
      </w:r>
    </w:p>
  </w:endnote>
  <w:endnote w:type="continuationSeparator" w:id="1">
    <w:p w:rsidR="00646BB2" w:rsidRDefault="00646BB2" w:rsidP="009C6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B2" w:rsidRDefault="00646BB2" w:rsidP="009C6916">
      <w:pPr>
        <w:spacing w:after="0" w:line="240" w:lineRule="auto"/>
      </w:pPr>
      <w:r>
        <w:separator/>
      </w:r>
    </w:p>
  </w:footnote>
  <w:footnote w:type="continuationSeparator" w:id="1">
    <w:p w:rsidR="00646BB2" w:rsidRDefault="00646BB2" w:rsidP="009C6916">
      <w:pPr>
        <w:spacing w:after="0" w:line="240" w:lineRule="auto"/>
      </w:pPr>
      <w:r>
        <w:continuationSeparator/>
      </w:r>
    </w:p>
  </w:footnote>
  <w:footnote w:id="2">
    <w:p w:rsidR="009C6916" w:rsidRDefault="009C6916" w:rsidP="009C6916">
      <w:pPr>
        <w:pStyle w:val="a3"/>
        <w:jc w:val="both"/>
      </w:pPr>
      <w:r w:rsidRPr="00A24284">
        <w:rPr>
          <w:rStyle w:val="a5"/>
          <w:rFonts w:ascii="Times New Roman" w:hAnsi="Times New Roman"/>
        </w:rPr>
        <w:footnoteRef/>
      </w:r>
      <w:r w:rsidRPr="00A24284">
        <w:rPr>
          <w:rFonts w:ascii="Times New Roman" w:hAnsi="Times New Roman"/>
        </w:rPr>
        <w:t xml:space="preserve"> Центр развития юридических клиник [Электронный ресурс] – URL: </w:t>
      </w:r>
      <w:hyperlink r:id="rId1" w:tgtFrame="_blank" w:history="1">
        <w:r w:rsidRPr="00A24284">
          <w:rPr>
            <w:rStyle w:val="a7"/>
            <w:rFonts w:ascii="Times New Roman" w:hAnsi="Times New Roman"/>
            <w:shd w:val="clear" w:color="auto" w:fill="FFFFFF"/>
          </w:rPr>
          <w:t>sc.law.msu.ru/centr</w:t>
        </w:r>
      </w:hyperlink>
      <w:r w:rsidRPr="00A24284">
        <w:rPr>
          <w:rStyle w:val="block-infoleft"/>
          <w:rFonts w:ascii="Times New Roman" w:hAnsi="Times New Roman"/>
          <w:shd w:val="clear" w:color="auto" w:fill="FFFFFF"/>
        </w:rPr>
        <w:t xml:space="preserve"> (Дата обращения 19.10.2013)</w:t>
      </w:r>
    </w:p>
  </w:footnote>
  <w:footnote w:id="3">
    <w:p w:rsidR="009C6916" w:rsidRDefault="009C6916" w:rsidP="009C6916">
      <w:pPr>
        <w:pStyle w:val="a3"/>
        <w:jc w:val="both"/>
      </w:pPr>
      <w:r w:rsidRPr="00A24284">
        <w:rPr>
          <w:rStyle w:val="a5"/>
          <w:rFonts w:ascii="Times New Roman" w:hAnsi="Times New Roman"/>
        </w:rPr>
        <w:footnoteRef/>
      </w:r>
      <w:r w:rsidRPr="00A24284">
        <w:rPr>
          <w:rFonts w:ascii="Times New Roman" w:hAnsi="Times New Roman"/>
        </w:rPr>
        <w:t xml:space="preserve"> Клиническое юридическое образование [Электронный ресурс] – URL: </w:t>
      </w:r>
      <w:hyperlink r:id="rId2" w:history="1">
        <w:r w:rsidRPr="00A24284">
          <w:rPr>
            <w:rStyle w:val="a7"/>
            <w:rFonts w:ascii="Times New Roman" w:hAnsi="Times New Roman"/>
          </w:rPr>
          <w:t>http://www.lawclinic.ru</w:t>
        </w:r>
      </w:hyperlink>
      <w:r w:rsidRPr="00A24284">
        <w:rPr>
          <w:rFonts w:ascii="Times New Roman" w:hAnsi="Times New Roman"/>
        </w:rPr>
        <w:t xml:space="preserve"> (Дата обращения 10.10.2012)</w:t>
      </w:r>
    </w:p>
  </w:footnote>
  <w:footnote w:id="4">
    <w:p w:rsidR="009C6916" w:rsidRDefault="009C6916" w:rsidP="009C6916">
      <w:pPr>
        <w:pStyle w:val="a3"/>
        <w:jc w:val="both"/>
      </w:pPr>
      <w:r w:rsidRPr="00A24284">
        <w:rPr>
          <w:rStyle w:val="a5"/>
          <w:rFonts w:ascii="Times New Roman" w:hAnsi="Times New Roman"/>
        </w:rPr>
        <w:footnoteRef/>
      </w:r>
      <w:r w:rsidRPr="00A24284">
        <w:rPr>
          <w:rFonts w:ascii="Times New Roman" w:hAnsi="Times New Roman"/>
        </w:rPr>
        <w:t xml:space="preserve"> Минусы Болонской системы образования в России [Электронный ресурс] – URL: </w:t>
      </w:r>
      <w:hyperlink r:id="rId3" w:history="1">
        <w:r w:rsidRPr="00A24284">
          <w:rPr>
            <w:rStyle w:val="a7"/>
            <w:rFonts w:ascii="Times New Roman" w:hAnsi="Times New Roman"/>
          </w:rPr>
          <w:t>http://www.eduhelp.info/page/minusy-bolonskoj-sistemy-obrazovanija-v-rossii</w:t>
        </w:r>
      </w:hyperlink>
      <w:r w:rsidRPr="00A24284">
        <w:rPr>
          <w:rStyle w:val="apple-converted-space"/>
          <w:rFonts w:ascii="Times New Roman" w:hAnsi="Times New Roman"/>
        </w:rPr>
        <w:t>  (Дата обращения: 16.10.2013)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5A92"/>
    <w:multiLevelType w:val="hybridMultilevel"/>
    <w:tmpl w:val="92FC3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C6916"/>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46BB2"/>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C6916"/>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9C6916"/>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9C6916"/>
    <w:rPr>
      <w:rFonts w:ascii="Calibri" w:eastAsia="Calibri" w:hAnsi="Calibri" w:cs="Times New Roman"/>
      <w:sz w:val="20"/>
      <w:szCs w:val="20"/>
    </w:rPr>
  </w:style>
  <w:style w:type="character" w:styleId="a5">
    <w:name w:val="footnote reference"/>
    <w:basedOn w:val="a0"/>
    <w:uiPriority w:val="99"/>
    <w:rsid w:val="009C6916"/>
    <w:rPr>
      <w:rFonts w:cs="Times New Roman"/>
      <w:vertAlign w:val="superscript"/>
    </w:rPr>
  </w:style>
  <w:style w:type="paragraph" w:styleId="a6">
    <w:name w:val="Normal (Web)"/>
    <w:basedOn w:val="a"/>
    <w:uiPriority w:val="99"/>
    <w:rsid w:val="009C6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C6916"/>
    <w:rPr>
      <w:rFonts w:cs="Times New Roman"/>
    </w:rPr>
  </w:style>
  <w:style w:type="character" w:styleId="a7">
    <w:name w:val="Hyperlink"/>
    <w:basedOn w:val="a0"/>
    <w:uiPriority w:val="99"/>
    <w:rsid w:val="009C6916"/>
    <w:rPr>
      <w:rFonts w:cs="Times New Roman"/>
      <w:color w:val="0000FF"/>
      <w:u w:val="single"/>
    </w:rPr>
  </w:style>
  <w:style w:type="paragraph" w:customStyle="1" w:styleId="Style19">
    <w:name w:val="Style19"/>
    <w:basedOn w:val="a"/>
    <w:uiPriority w:val="99"/>
    <w:rsid w:val="009C6916"/>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character" w:customStyle="1" w:styleId="block-infoleft">
    <w:name w:val="block-info__left"/>
    <w:basedOn w:val="a0"/>
    <w:uiPriority w:val="99"/>
    <w:rsid w:val="009C6916"/>
    <w:rPr>
      <w:rFonts w:cs="Times New Roman"/>
    </w:rPr>
  </w:style>
  <w:style w:type="paragraph" w:styleId="a8">
    <w:name w:val="Body Text"/>
    <w:basedOn w:val="a"/>
    <w:link w:val="a9"/>
    <w:uiPriority w:val="99"/>
    <w:rsid w:val="009C6916"/>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9C69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linic.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aw.msu.ru/centr" TargetMode="External"/><Relationship Id="rId4" Type="http://schemas.openxmlformats.org/officeDocument/2006/relationships/webSettings" Target="webSettings.xml"/><Relationship Id="rId9" Type="http://schemas.openxmlformats.org/officeDocument/2006/relationships/hyperlink" Target="http://www.eduhelp.info/page/minusy-bolonskoj-sistemy-obrazovanija-v-ross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uhelp.info/page/minusy-bolonskoj-sistemy-obrazovanija-v-rossii" TargetMode="External"/><Relationship Id="rId2" Type="http://schemas.openxmlformats.org/officeDocument/2006/relationships/hyperlink" Target="http://www.lawclinic.ru/" TargetMode="External"/><Relationship Id="rId1" Type="http://schemas.openxmlformats.org/officeDocument/2006/relationships/hyperlink" Target="http://sc.law.msu.ru/centr"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8"/>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4054054054054106E-2"/>
          <c:y val="5.5299539170506916E-2"/>
          <c:w val="0.77742448330683656"/>
          <c:h val="0.78801843317972364"/>
        </c:manualLayout>
      </c:layout>
      <c:bar3DChart>
        <c:barDir val="col"/>
        <c:grouping val="clustered"/>
        <c:ser>
          <c:idx val="0"/>
          <c:order val="0"/>
          <c:tx>
            <c:strRef>
              <c:f>Sheet1!$A$2</c:f>
              <c:strCache>
                <c:ptCount val="1"/>
                <c:pt idx="0">
                  <c:v>дней приёма</c:v>
                </c:pt>
              </c:strCache>
            </c:strRef>
          </c:tx>
          <c:spPr>
            <a:solidFill>
              <a:srgbClr val="BBE0E3"/>
            </a:solidFill>
            <a:ln w="7969">
              <a:solidFill>
                <a:srgbClr val="000000"/>
              </a:solidFill>
              <a:prstDash val="solid"/>
            </a:ln>
          </c:spPr>
          <c:cat>
            <c:strRef>
              <c:f>Sheet1!$B$1:$G$1</c:f>
              <c:strCache>
                <c:ptCount val="6"/>
                <c:pt idx="0">
                  <c:v>2008-2009</c:v>
                </c:pt>
                <c:pt idx="1">
                  <c:v>2009-2010</c:v>
                </c:pt>
                <c:pt idx="2">
                  <c:v>2010-2011</c:v>
                </c:pt>
                <c:pt idx="3">
                  <c:v>2011-2012</c:v>
                </c:pt>
                <c:pt idx="4">
                  <c:v>2012-2013</c:v>
                </c:pt>
                <c:pt idx="5">
                  <c:v>Всего</c:v>
                </c:pt>
              </c:strCache>
            </c:strRef>
          </c:cat>
          <c:val>
            <c:numRef>
              <c:f>Sheet1!$B$2:$G$2</c:f>
              <c:numCache>
                <c:formatCode>General</c:formatCode>
                <c:ptCount val="6"/>
                <c:pt idx="0">
                  <c:v>49</c:v>
                </c:pt>
                <c:pt idx="1">
                  <c:v>66</c:v>
                </c:pt>
                <c:pt idx="2">
                  <c:v>44</c:v>
                </c:pt>
                <c:pt idx="3">
                  <c:v>29</c:v>
                </c:pt>
                <c:pt idx="4">
                  <c:v>25</c:v>
                </c:pt>
                <c:pt idx="5">
                  <c:v>208</c:v>
                </c:pt>
              </c:numCache>
            </c:numRef>
          </c:val>
        </c:ser>
        <c:gapDepth val="0"/>
        <c:shape val="box"/>
        <c:axId val="86801408"/>
        <c:axId val="86853120"/>
        <c:axId val="0"/>
      </c:bar3DChart>
      <c:catAx>
        <c:axId val="86801408"/>
        <c:scaling>
          <c:orientation val="minMax"/>
        </c:scaling>
        <c:axPos val="b"/>
        <c:numFmt formatCode="General" sourceLinked="1"/>
        <c:tickLblPos val="low"/>
        <c:spPr>
          <a:ln w="1992">
            <a:solidFill>
              <a:srgbClr val="000000"/>
            </a:solidFill>
            <a:prstDash val="solid"/>
          </a:ln>
        </c:spPr>
        <c:txPr>
          <a:bodyPr rot="0" vert="horz"/>
          <a:lstStyle/>
          <a:p>
            <a:pPr>
              <a:defRPr sz="533" b="1" i="0" u="none" strike="noStrike" baseline="0">
                <a:solidFill>
                  <a:srgbClr val="000000"/>
                </a:solidFill>
                <a:latin typeface="Arial"/>
                <a:ea typeface="Arial"/>
                <a:cs typeface="Arial"/>
              </a:defRPr>
            </a:pPr>
            <a:endParaRPr lang="ru-RU"/>
          </a:p>
        </c:txPr>
        <c:crossAx val="86853120"/>
        <c:crosses val="autoZero"/>
        <c:auto val="1"/>
        <c:lblAlgn val="ctr"/>
        <c:lblOffset val="100"/>
        <c:tickLblSkip val="1"/>
        <c:tickMarkSkip val="1"/>
      </c:catAx>
      <c:valAx>
        <c:axId val="86853120"/>
        <c:scaling>
          <c:orientation val="minMax"/>
        </c:scaling>
        <c:axPos val="l"/>
        <c:majorGridlines>
          <c:spPr>
            <a:ln w="1992">
              <a:solidFill>
                <a:srgbClr val="000000"/>
              </a:solidFill>
              <a:prstDash val="solid"/>
            </a:ln>
          </c:spPr>
        </c:majorGridlines>
        <c:numFmt formatCode="General" sourceLinked="1"/>
        <c:tickLblPos val="nextTo"/>
        <c:spPr>
          <a:ln w="1992">
            <a:solidFill>
              <a:srgbClr val="000000"/>
            </a:solidFill>
            <a:prstDash val="solid"/>
          </a:ln>
        </c:spPr>
        <c:txPr>
          <a:bodyPr rot="0" vert="horz"/>
          <a:lstStyle/>
          <a:p>
            <a:pPr>
              <a:defRPr sz="533" b="1" i="0" u="none" strike="noStrike" baseline="0">
                <a:solidFill>
                  <a:srgbClr val="000000"/>
                </a:solidFill>
                <a:latin typeface="Arial"/>
                <a:ea typeface="Arial"/>
                <a:cs typeface="Arial"/>
              </a:defRPr>
            </a:pPr>
            <a:endParaRPr lang="ru-RU"/>
          </a:p>
        </c:txPr>
        <c:crossAx val="86801408"/>
        <c:crosses val="autoZero"/>
        <c:crossBetween val="between"/>
      </c:valAx>
      <c:spPr>
        <a:noFill/>
        <a:ln w="16017">
          <a:noFill/>
        </a:ln>
      </c:spPr>
    </c:plotArea>
    <c:legend>
      <c:legendPos val="r"/>
      <c:layout>
        <c:manualLayout>
          <c:xMode val="edge"/>
          <c:yMode val="edge"/>
          <c:wMode val="edge"/>
          <c:hMode val="edge"/>
          <c:x val="0.84896665073415345"/>
          <c:y val="0.45622119815668205"/>
          <c:w val="0.99364074698330462"/>
          <c:h val="0.54838709677419362"/>
        </c:manualLayout>
      </c:layout>
      <c:spPr>
        <a:noFill/>
        <a:ln w="1992">
          <a:solidFill>
            <a:srgbClr val="000000"/>
          </a:solidFill>
          <a:prstDash val="solid"/>
        </a:ln>
      </c:spPr>
      <c:txPr>
        <a:bodyPr/>
        <a:lstStyle/>
        <a:p>
          <a:pPr>
            <a:defRPr sz="489"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533" b="1" i="0" u="none" strike="noStrike" baseline="0">
          <a:solidFill>
            <a:srgbClr val="000000"/>
          </a:solidFill>
          <a:latin typeface="Arial"/>
          <a:ea typeface="Arial"/>
          <a:cs typeface="Arial"/>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0.135</cdr:x>
      <cdr:y>0.7025</cdr:y>
    </cdr:from>
    <cdr:to>
      <cdr:x>0.17475</cdr:x>
      <cdr:y>0.85</cdr:y>
    </cdr:to>
    <cdr:sp macro="" textlink="">
      <cdr:nvSpPr>
        <cdr:cNvPr id="1025" name="Text Box 1"/>
        <cdr:cNvSpPr txBox="1">
          <a:spLocks xmlns:a="http://schemas.openxmlformats.org/drawingml/2006/main" noChangeArrowheads="1"/>
        </cdr:cNvSpPr>
      </cdr:nvSpPr>
      <cdr:spPr bwMode="auto">
        <a:xfrm xmlns:a="http://schemas.openxmlformats.org/drawingml/2006/main">
          <a:off x="808815" y="1452015"/>
          <a:ext cx="238152" cy="30487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49</a:t>
          </a:r>
        </a:p>
        <a:p xmlns:a="http://schemas.openxmlformats.org/drawingml/2006/main">
          <a:pPr algn="ctr" rtl="0">
            <a:defRPr sz="1000"/>
          </a:pPr>
          <a:endParaRPr lang="ru-RU" sz="1000" b="1" i="0" u="none" strike="noStrike" baseline="0">
            <a:solidFill>
              <a:srgbClr val="000000"/>
            </a:solidFill>
            <a:latin typeface="Arial Cyr"/>
            <a:cs typeface="Arial Cyr"/>
          </a:endParaRPr>
        </a:p>
      </cdr:txBody>
    </cdr:sp>
  </cdr:relSizeAnchor>
  <cdr:relSizeAnchor xmlns:cdr="http://schemas.openxmlformats.org/drawingml/2006/chartDrawing">
    <cdr:from>
      <cdr:x>0.25425</cdr:x>
      <cdr:y>0.649</cdr:y>
    </cdr:from>
    <cdr:to>
      <cdr:x>0.29075</cdr:x>
      <cdr:y>0.82875</cdr:y>
    </cdr:to>
    <cdr:sp macro="" textlink="">
      <cdr:nvSpPr>
        <cdr:cNvPr id="1026" name="Text Box 2"/>
        <cdr:cNvSpPr txBox="1">
          <a:spLocks xmlns:a="http://schemas.openxmlformats.org/drawingml/2006/main" noChangeArrowheads="1"/>
        </cdr:cNvSpPr>
      </cdr:nvSpPr>
      <cdr:spPr bwMode="auto">
        <a:xfrm xmlns:a="http://schemas.openxmlformats.org/drawingml/2006/main">
          <a:off x="1523269" y="1341434"/>
          <a:ext cx="218680" cy="37153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66</a:t>
          </a:r>
        </a:p>
      </cdr:txBody>
    </cdr:sp>
  </cdr:relSizeAnchor>
  <cdr:relSizeAnchor xmlns:cdr="http://schemas.openxmlformats.org/drawingml/2006/chartDrawing">
    <cdr:from>
      <cdr:x>0.3585</cdr:x>
      <cdr:y>0.718</cdr:y>
    </cdr:from>
    <cdr:to>
      <cdr:x>0.4045</cdr:x>
      <cdr:y>0.8285</cdr:y>
    </cdr:to>
    <cdr:sp macro="" textlink="">
      <cdr:nvSpPr>
        <cdr:cNvPr id="1027" name="Text Box 3"/>
        <cdr:cNvSpPr txBox="1">
          <a:spLocks xmlns:a="http://schemas.openxmlformats.org/drawingml/2006/main" noChangeArrowheads="1"/>
        </cdr:cNvSpPr>
      </cdr:nvSpPr>
      <cdr:spPr bwMode="auto">
        <a:xfrm xmlns:a="http://schemas.openxmlformats.org/drawingml/2006/main">
          <a:off x="2147854" y="1484052"/>
          <a:ext cx="275597" cy="2283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44</a:t>
          </a:r>
        </a:p>
      </cdr:txBody>
    </cdr:sp>
  </cdr:relSizeAnchor>
  <cdr:relSizeAnchor xmlns:cdr="http://schemas.openxmlformats.org/drawingml/2006/chartDrawing">
    <cdr:from>
      <cdr:x>0.471</cdr:x>
      <cdr:y>0.7515</cdr:y>
    </cdr:from>
    <cdr:to>
      <cdr:x>0.51225</cdr:x>
      <cdr:y>0.84825</cdr:y>
    </cdr:to>
    <cdr:sp macro="" textlink="">
      <cdr:nvSpPr>
        <cdr:cNvPr id="1028" name="Text Box 4"/>
        <cdr:cNvSpPr txBox="1">
          <a:spLocks xmlns:a="http://schemas.openxmlformats.org/drawingml/2006/main" noChangeArrowheads="1"/>
        </cdr:cNvSpPr>
      </cdr:nvSpPr>
      <cdr:spPr bwMode="auto">
        <a:xfrm xmlns:a="http://schemas.openxmlformats.org/drawingml/2006/main">
          <a:off x="2821867" y="1553294"/>
          <a:ext cx="247138" cy="1999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29</a:t>
          </a:r>
        </a:p>
      </cdr:txBody>
    </cdr:sp>
  </cdr:relSizeAnchor>
  <cdr:relSizeAnchor xmlns:cdr="http://schemas.openxmlformats.org/drawingml/2006/chartDrawing">
    <cdr:from>
      <cdr:x>0.58675</cdr:x>
      <cdr:y>0.77075</cdr:y>
    </cdr:from>
    <cdr:to>
      <cdr:x>0.62175</cdr:x>
      <cdr:y>0.849</cdr:y>
    </cdr:to>
    <cdr:sp macro="" textlink="">
      <cdr:nvSpPr>
        <cdr:cNvPr id="1029" name="Text Box 5"/>
        <cdr:cNvSpPr txBox="1">
          <a:spLocks xmlns:a="http://schemas.openxmlformats.org/drawingml/2006/main" noChangeArrowheads="1"/>
        </cdr:cNvSpPr>
      </cdr:nvSpPr>
      <cdr:spPr bwMode="auto">
        <a:xfrm xmlns:a="http://schemas.openxmlformats.org/drawingml/2006/main">
          <a:off x="3515351" y="1593082"/>
          <a:ext cx="209693" cy="1617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25</a:t>
          </a:r>
        </a:p>
      </cdr:txBody>
    </cdr:sp>
  </cdr:relSizeAnchor>
  <cdr:relSizeAnchor xmlns:cdr="http://schemas.openxmlformats.org/drawingml/2006/chartDrawing">
    <cdr:from>
      <cdr:x>0.69275</cdr:x>
      <cdr:y>0.227</cdr:y>
    </cdr:from>
    <cdr:to>
      <cdr:x>0.73875</cdr:x>
      <cdr:y>0.83075</cdr:y>
    </cdr:to>
    <cdr:sp macro="" textlink="">
      <cdr:nvSpPr>
        <cdr:cNvPr id="1030" name="Text Box 6"/>
        <cdr:cNvSpPr txBox="1">
          <a:spLocks xmlns:a="http://schemas.openxmlformats.org/drawingml/2006/main" noChangeArrowheads="1"/>
        </cdr:cNvSpPr>
      </cdr:nvSpPr>
      <cdr:spPr bwMode="auto">
        <a:xfrm xmlns:a="http://schemas.openxmlformats.org/drawingml/2006/main">
          <a:off x="4150421" y="469192"/>
          <a:ext cx="275596" cy="124790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208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2017-07-24T13:27:00Z</dcterms:created>
  <dcterms:modified xsi:type="dcterms:W3CDTF">2017-07-24T13:27:00Z</dcterms:modified>
</cp:coreProperties>
</file>