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45" w:rsidRDefault="00A36245" w:rsidP="00A36245">
      <w:pPr>
        <w:pStyle w:val="1"/>
        <w:jc w:val="both"/>
        <w:rPr>
          <w:i/>
        </w:rPr>
      </w:pPr>
      <w:bookmarkStart w:id="0" w:name="_Toc56442549"/>
      <w:r>
        <w:rPr>
          <w:i/>
        </w:rPr>
        <w:t>Кравчук</w:t>
      </w:r>
      <w:bookmarkEnd w:id="0"/>
      <w:r>
        <w:rPr>
          <w:i/>
        </w:rPr>
        <w:t xml:space="preserve"> Н.В.</w:t>
      </w:r>
    </w:p>
    <w:p w:rsidR="00A36245" w:rsidRDefault="00A36245" w:rsidP="00A36245">
      <w:pPr>
        <w:pStyle w:val="1"/>
      </w:pPr>
    </w:p>
    <w:p w:rsidR="00A36245" w:rsidRDefault="00A36245" w:rsidP="00A36245">
      <w:pPr>
        <w:pStyle w:val="1"/>
      </w:pPr>
      <w:bookmarkStart w:id="1" w:name="_Toc56442550"/>
      <w:r>
        <w:t>ПОРЯДОК ЗАЩИТЫ ПРАВ РЕБЕНКА</w:t>
      </w:r>
      <w:bookmarkEnd w:id="1"/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Опубликовано в Сборнике статей и тезисов аспирантов и молодых уч</w:t>
      </w:r>
      <w:r>
        <w:rPr>
          <w:rFonts w:ascii="Times New Roman" w:hAnsi="Times New Roman" w:cs="Times New Roman"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i/>
          <w:iCs/>
          <w:sz w:val="28"/>
          <w:szCs w:val="28"/>
        </w:rPr>
        <w:t>ных. - ИГПАН, 2002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всей истории человечества отношение к детям претерпело значительные изменения. В первобытнообщинном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 оно не особенно отличало отношения животных к своим дет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нышам. После, долгое время на детей смотрели как на безымянных чл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нов клана или общины. В средневековой Европе, как показывают письменные источники, к детям до 6-7 лет относились как к младе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цам, а потом – ко взрослым, и приучали их к взрослой жизни. Факт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чески, ребенок считался уменьшенной по размеру и умственному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витию копией взрослого.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ребенок, из полностью бесправного существа,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надлежавшего своим родителям превратился в субъекта права. Несмотря на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ный прогресс, достигнутый в этой области, дети опять-таки выступают в роли жертвы экономических, социальных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форм, несовершенства законодательства. При этом, дети практически не способны самостоятельно защищать свои права и отстаивать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венные интересы, а следовательно нуждаю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особенной, усиленной защите.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п.1 ст.8 СК РФ предусматривается защита прав детей в судебном и административном порядке. 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защита прав ребенка осуществляется прямо и косвенно. В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вом случае речь идет о делах, непосредственно связанных с семейным воспитанием несовершеннолетнего (определение места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детей при раздельном проживании их родителей;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права ребенка на общение с родителем, проживающим от него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дельно; обеспечение права ребенка на общение с близкими родстве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никами; лишение родительских прав и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становление в родительских правах; ограничение родительских прав и его отмена).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дел, по которым суд осуществляет прямую защиту прав ребенка является исчерпывающим. Ее характерная особенность заключается в том, что здесь налицо спор о праве на семейное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тание.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Косвенная судебная защита осуществляется с помощью семе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ного законодательства, например, при взыскании алиментов, устано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отцовства. Данный перечень исчерпывающим не является.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 того, косвенная защита права ребенка в семье может 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 помощью иных отраслей законодательства (гражданского, административного, уг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ловного, трудового и др.).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широко обсуждается вопрос ювенальной ю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тиции в России.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реформы советского уголовного и уголовно-процессуального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(1959-1961) уже делались попытки создать модель правосудия, отражающую его специфику по 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 к </w:t>
      </w:r>
      <w:r>
        <w:rPr>
          <w:rFonts w:ascii="Times New Roman" w:hAnsi="Times New Roman" w:cs="Times New Roman"/>
          <w:sz w:val="28"/>
          <w:szCs w:val="28"/>
        </w:rPr>
        <w:lastRenderedPageBreak/>
        <w:t>несовершеннолетним. И в первые годы после реформы этот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мысел удавался (дополнительные гарантии прав личности,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 судей, прокуроров, следователей). Однако дельнейшие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законодательства оказались не в пользу несовершенноле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них, и начавшая было возникать модель ювенальной юстиции довольно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стро превратилась в обычное общеуголовное правосудие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 Совреме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российское уголовное законодательство сохраняет следы "средн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векового" подхода, так как допуская определенные послабления для несовершеннолетних (напр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мер, недопустимость возложения на них более тяжелого наказания, нежели лишение свободы на дес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тилетний срок, возможность применения к ним принудительных мер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воздействия и др.), не рассматривает судопроизво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ство для несовершеннолетних как процедуру, коренным образом отлича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щуюся по своему предназначению и формам от разбирательства уголовных дел взрослых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виняемых.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Подавляющее большинство российских ученых, занимающихся проблемами борьбы с преступностью, уверены в необходимости 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рейшего внедр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ювенальной юстиции в России. Однако в рамках предполагаемой реформы некоторые настаивают на введении отдел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специализированных судов по делам несовершеннолетних, в то время как другие ратуют за рассмотрение дел несовершеннолетних в особом порядке, но без создания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альных судов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ребенка в административном порядке осуществл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ется правоохранительными органами и органами опеки и попечител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(ст. 8 СК).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первым относятся: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Прокуратура,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Органы внутренних дел.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Прокурор, защищая права детей, использует следующие спос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бы: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предъявление иска о лишении родительских прав (ст. 70 СК), ограничении в родительских правах (ст. 73 СК), об отмене усыновл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ребенка (ст. 142 СК); 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предъявление в суд, орган опеки и попечительства заявления с требованием о восстановлении (признании) нарушенного (оспоренн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го) права ребенка (ст. 21 Закона «О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куратуре РФ»);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участвуя в рассмотрении судом дел о защите прав ребенка (ст. 35 Закона «О прокуратуре РФ»; ст.ст. 72, 73, 125, 140 СК РФ);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предостережения о недопустимости нарушения прав ребенка в дальнейшем и представления об устранении нарушений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кона (ст. 24, ст. 25 Закона «О прокуратуре РФ»);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опротестование актов других административных органов, имеющих прямое отношение к защите прав детей (при наличии оснований,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ренных законом (ст. 23 Закона «О прокуратуре РФ»).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начальника Управления по делам несоверше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нолетних и молодежи Генеральной Прокуратуры РФ, Александра 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гулова, в 2000 году прокурорами было выявлено более 42 тысяч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рушений в сфере охраны жизни, здоровья, защиты семьи, материнс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ва, отцовства и детства. В защиту прав и законных интересов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вершеннолетних прокурорами внесено 18 тысяч представлений об устранении нарушений законов, кроме того, было направлено в суды в защиту имущественных прав несовершеннолетних, в том числе детей-сирот и детей, оставшихся без попечения родителей, более 32 тысяч исков на сумму 91 ми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лион рублей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наиболее последовательной защиты прав ребенка нередко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лагают ввести должность Омбудсмена по правам ребенка. С 1998 года в нескольких субъектах Российской Федерации (Волг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градской, Калужской, 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городской области, города Екатеринбург и Санкт-Петербург) уполномоченные по правам ребенка уже начали действовать, но на общественных началах и без необходимой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дательной базы. Представляется, что создание такого института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жет иметь смысл только с целью сбора информации о нарушении прав детей. Как орган, имеющий своей целью защиту прав детей, он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ставляется неэффективным, так как будет дублировать надзорные функции прок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ратуры не имея, при этом, достаточных полномочий для должного реагирования на нарушения прав детей и предотвращ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таких нарушений. 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внутренних дел участвуют в принудительном исполнении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связанных с отобранием ребенка (ст. 79 СК), а также в розыске лиц, уклоняющихся от исполнения судебных решений по спорам, связанным с воспитанием детей (пп. 14 ст. 10 Закона "О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лиции", ст. 3, 6 Указа Президента РФ "О милиции общественной безопасности (местной милиции) в РФ"). Также ОВД проводят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видуальную профилактическую работу с семьями, в которых 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шаются права ребенка; с родителями, не исполняющими или нена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лежаще исполняющими свои обязанности по воспитанию, обучению или содержанию несоверше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нолетних детей; участвуют в выявлении фактов нарушения прав ребенка в семье; в необходимых случаях осуществляют подготовку дел по лиш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и ограничению родительских прав.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ребенка в семье входит также в компетенцию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миссии по делам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вершеннолетних и защите их прав. Согласно ст. 11 Закона "Об основах системы профилактики безнадзорности и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вонарушений несовершеннолетних" в обязанности этих комиссий входит: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предъявление в суд иска о лишении и ограничении родител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ских прав;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осуществление мер по защите и восстановлению прав и зако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интер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 ребенка, выявлению и устранению причин и условий, способствующих их безнадзорности, беспр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зорности;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организация, в случае необходимости, контроля за условиями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обучения, содержания несовершеннолетних детей;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материалов, представляемых в суд по вопросам,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занным с защитой прав ребенка в семье.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121 СК РФ органы опеки и попечительс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выявляют детей,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тавшихся без попечения родителей, ведут учет таких детей и 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 из конкретных обстоятельств утраты попечения родителей избирают формы их устройства, а также осуществляют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следующий контроль за условиями их содержания, воспитания и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разования. Помимо этого, органы опеки и попечительства: предъя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ляют иск о лишении родительских прав, ограничении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тельских прав, выступают в роли ответчика по делам о восстановлении в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тельских правах, отмене ограничения родительских прав, дают заключения по делам, связа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с установлением усыновления, отменой усыновления, дают заключения по спорам, связанным с воспитанием ребенка в семье,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со ст. 79 СК участвуют в исполнении решений суда по делам, связа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с воспитанием детей.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большинстве органов опеки и попечител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всю работу по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щите прав несовершеннолетних выполняет как правило один специалист (инспектор) по охране детства. Это прив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 к тому, что удается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полнять только самую неотложную работу, как правило связанную с представительством интересов несоверше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нолетнего в суде, подготовкой заключений (зачастую непрофесси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нальных, в связи с отсутствием необходимых для этого навыков и знаний), по запросу суда и т.д. Таким образом у органов опеки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печительства нет возможности защищать права детей должным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зом, в связи с чем предлагается провести реформу этих органов.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новными элементами реформированного органа опеки и попечител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будут являться: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круга детей, защиту прав и законных интересов которых осуществляют органы опеки и попечительства;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системы социального патроната над детьми (семьей), нуждающимися в государственной защите (К семье, в которой реб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нок признан нуждающимся в государственной защите "прикрепляе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ся" патронатный восп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татель, оказывающий необходимую помощь в воспитании ребенка и реабил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тации семьи.);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Плана по защите ребенка – акта органа опеки и попечительства, в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ром устанавливается перечень мероприятий по обеспечению прав и законных интересов ребенка, нуждающегося в государственной защите, сроки их исполнения, устанавливается 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кое разграничение ответственности при выполнении плана между сторонами, участвующими в процессе воспитания и содержания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бенка;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распределение полномочий по опеке и попечительством между несколькими уполномоченными главой органа местного самоупра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службами (очевидно, что вышеук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занный объем полномочий не может осуществляться одним специалистом по охране детс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ва);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(перепрофилирование) учреждения, 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 патронатное воспитание (учреждения для содержания, воспит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подготовки ребенка, нуждающегося в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сударственной защите, к помещению в семью а также по поиску, отбору и обучению патр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натных воспитателей, оказанию содействия в воспитании и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реабилитационной работы с детьми и т.д.);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разграничение прав и обязанностей по защите прав и законных интересов ребенка, т.е. распределение обязанностей по законному представительству интересов ребенка между уполномоченной слу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бой (учреждением), кровными родителями (законными представит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лями ребенка) и патронатным воспитат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лем;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уполномоченной службы за состоянием развития ребенка, 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ждающегося в государственной защите.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скорого внедрения и успешного применения оп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санной выше модели является сомнительной, так как она во многом списана с запа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ных моделей, и эффективность ее работы в российских условиях не была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циально исследована. Тем не менее положение, когда согласно федеральной норме, на 5 тысяч несовершеннолетних должен быть лишь один специалист по охране их прав является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приемлемым и должно быть исправлено.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защита прав ребенка в судебном порядке кас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случаев нарушения его прав в семье, если возникает спор о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питании ребенка. А защита прав ребенка, особенно того, кто утратил родительское попечение, вх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 в сферу деятельности органа опеки и попечительства. Поэтому приоритетным и наиболее распростране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 способом защиты прав ребенка является не судебная, а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стративно-правовая защита, осуществляемая органами опеки и поп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чительства. Именно эти органы управомочены государством на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полнение защитных функций, которые осуществляются по разному, в зависимости от конкре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ситуации. Важной предпосылкой защиты этими органами прав несовершеннолетнего является тесный контакт и взаимодействие с прокуратурой, ОВД, Комиссиями по делам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вершеннолетних и другими государственными и общественными организациями. К сожалению, основная часть законов, принятых до настоящего времени, направлена на прописывание роли ведомств и определение границ их деятельности. Это привело к усилению межведомственных барьеров и потенциировало борьбу ведомств за бюджетные 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ства, в то время как механизм взаимодействия ведомств и их ответственности за невыполнение возложенных на них функций по защите прав ребенка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дательно не прописан.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Приведенный перечень государственных органов, защищающих права детей вряд ли можно считать исчерпывающим, так как на ме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тах участие в </w:t>
      </w:r>
      <w:r>
        <w:rPr>
          <w:rFonts w:ascii="Times New Roman" w:hAnsi="Times New Roman" w:cs="Times New Roman"/>
          <w:sz w:val="28"/>
          <w:szCs w:val="28"/>
        </w:rPr>
        <w:lastRenderedPageBreak/>
        <w:t>защите прав детей могут принимать и другие органы, число которых постоянно растет (Центр социальной помощи семье и детям, Центр психолого-педагогической помощи населению, Центр экстренной психологической пом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щи по телефону, Социально-реабилитационный центр для несовершеннолетних, Центр помощи детям, оставшимся без попечения родителей). Зарубежный опыт св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детельствует, что защиту прав ребенка осуществляют, например, "о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щинные" центры помощи (США, Англия), семейные "наблюдатели" (Ниде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ланды).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ранее неизвестных способов защиты прав ребенка –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крепленная в ст.56 СК РФ возможность самостоятельно защищать свои права в случае нарушения их родителями или лицами их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няющими. В этих случаях реб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нок может обратиться в орган опеки и попечительства, а по достижении 14 лет – в суд. Однако реальных предпосылок для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данного права пока не существует, так как действующее гражданско-процессуальное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 не определяет положение несовершеннолетнего участника гражданского процесса, утратившего родительское попечение.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жалоб в орган опеки и попечительства, в прокур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туру или в какие-либо иные органы, занимающиеся защитой прав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тей, то несмотря на кажущуюся простоту этой процедуры, ребенок чаще всего не может ею воспользоваться, отчасти потому, что не 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 своих прав, и не имеют доступа к независимым источникам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помощи. Кроме того, учитывая, что виновником насилия часто является директор или сотрудник детского дома или иное должнос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ное лицо, дети не верят в возможность добиться справедливости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ребенка на самозащиту означает существование обяза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органов, управ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моченных на защиту прав ребенка, принимать по его жалобе соответствующие меры. Отсу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ствие законодательного регулирования этого вопроса на практике может привести к нежел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 должностных лиц фиксировать 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лобы детей и предпринимать какие-либо действия для восстановления их прав.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защиты прав ребенка на национальном уровне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на его защита с помощью международных механизмов защиты,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ванных на международных нормативных актах, являющихся,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ч. 4 ст. 15 Конституции РФ частью правовой системы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Федерации, и имеющей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юдициальное значение.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Россия обязана периодически представлять в Комитет по правам ребенка ООН государственные Доклады о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жении с правами ребенка в РФ. Конвенция о правах ребенка, мех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низмом реализации положений которой является Комитет–универсальна – единственными странами, не рат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фицировавшими ее, являются США и Сомали. Конвенция не только идентифицирует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бенка как лицо, наделенное конкретными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правами, но также делает возможным для ребенка утверждение своих прав с помощью 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нальных судебных или административных процедур (ст. 12 Конвенции). Многие экспе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ты считают, что одним из самых значительных вкладов, сделанных Конвенцией в законодательство по правам чел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века, является именно внедрение принципа трансформации ребенка из пассивного объекта "защиты" в активного субъе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представленного государством Докл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да, альтернативных докладов неправительственных организаций 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ветов государства на дополнительно поставленные вопросы, Комитет выносит рекомендации по ус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вершенствованию ситуации с правами ребенка в России и особой защите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дельных категорий детей. Россия уже представила в Комитет два Доклада (1993, 1999 гг.) по итогам рассмотрения которых были вынесены соответствующие рекоменд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и должна представить следующий периодический До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лад в 2003 году.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одним международно-правовым способом судебной защ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ты прав ребенка является его обращение в Европейский Суд по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вам человека. В случае установления этим судом нарушения права заявителя ему может быть выплачена денежная компенсация, а рек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мендации Суда являются обязательными для исполнения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вом-ответчиком. Обычно интересы детей перед Европе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ским судом представляют их родители, но если это по каким-либо причинам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возможно, ребенок может воспользоваться помощью адвоката или общественной организации, в соответствии с национальным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дательством. При этом в прецедентах Европейского Суда особо указывается, что несовершеннолетние могут самостоятел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 или через представителей инициировать подачу жалобы. В качестве примера инициации судебного разбирательства в Европейском суде несовершеннолетним лицом может быть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 Нильсен против Дании (Nielsen v. Denmark,) 1988 года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 дел о защите прав детей в Европейском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 касаю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назначения опеки над ребенком, контактов с родителями и другими родственниками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, а также – права на уважение личной и семейной жизни, недопустимости применения физических наказ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 и права на обучение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такого рода против России также уже подаются. Примером может служить дело Никишиной против России (№ 45665/99).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аналогичных жалоб в Комитет по правам человека ООН не является столь действенным способом защиты, так как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Комитета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сят рекомендательный характер.</w:t>
      </w:r>
    </w:p>
    <w:p w:rsidR="00A36245" w:rsidRDefault="00A36245" w:rsidP="00A36245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245" w:rsidRDefault="00A36245" w:rsidP="00A36245">
      <w:pPr>
        <w:pStyle w:val="a6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Кравчук</w:t>
      </w:r>
      <w:r w:rsidRPr="00A362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A36245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A3624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3624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A36245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8"/>
          <w:szCs w:val="28"/>
        </w:rPr>
        <w:t>Научный руководитель: д. ю. н. А. М. Нечаева.</w:t>
      </w:r>
    </w:p>
    <w:p w:rsidR="00745A08" w:rsidRDefault="00745A08"/>
    <w:sectPr w:rsidR="00745A08" w:rsidSect="0074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40A" w:rsidRDefault="0047040A" w:rsidP="00A36245">
      <w:pPr>
        <w:spacing w:after="0" w:line="240" w:lineRule="auto"/>
      </w:pPr>
      <w:r>
        <w:separator/>
      </w:r>
    </w:p>
  </w:endnote>
  <w:endnote w:type="continuationSeparator" w:id="1">
    <w:p w:rsidR="0047040A" w:rsidRDefault="0047040A" w:rsidP="00A3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40A" w:rsidRDefault="0047040A" w:rsidP="00A36245">
      <w:pPr>
        <w:spacing w:after="0" w:line="240" w:lineRule="auto"/>
      </w:pPr>
      <w:r>
        <w:separator/>
      </w:r>
    </w:p>
  </w:footnote>
  <w:footnote w:type="continuationSeparator" w:id="1">
    <w:p w:rsidR="0047040A" w:rsidRDefault="0047040A" w:rsidP="00A36245">
      <w:pPr>
        <w:spacing w:after="0" w:line="240" w:lineRule="auto"/>
      </w:pPr>
      <w:r>
        <w:continuationSeparator/>
      </w:r>
    </w:p>
  </w:footnote>
  <w:footnote w:id="2">
    <w:p w:rsidR="00A36245" w:rsidRDefault="00A36245" w:rsidP="00A362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Э. Мельникова "Российская модель ювенальной юстиции". Правозащитник, №1, 1996. С.26</w:t>
      </w:r>
    </w:p>
  </w:footnote>
  <w:footnote w:id="3">
    <w:p w:rsidR="00A36245" w:rsidRDefault="00A36245" w:rsidP="00A36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О. Ведерникова. "Ювенальная юстиция: исторический опыт и перспективы".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сийская Юстиция, №7, 2000. С 51.</w:t>
      </w:r>
    </w:p>
  </w:footnote>
  <w:footnote w:id="4">
    <w:p w:rsidR="00A36245" w:rsidRDefault="00A36245" w:rsidP="00A362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Л.Баринов "Российские сироты". Независимая газета от 08.06.2001.</w:t>
      </w:r>
    </w:p>
  </w:footnote>
  <w:footnote w:id="5">
    <w:p w:rsidR="00A36245" w:rsidRDefault="00A36245" w:rsidP="00A36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"Насилие над детьми, находящимися под опекой государства." Из доклада Хьюман Райтс Вотч (1998). Российский Вестник "Междун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родной Амнистии", ;18 – декабрь 2000. с.8</w:t>
      </w:r>
    </w:p>
  </w:footnote>
  <w:footnote w:id="6">
    <w:p w:rsidR="00A36245" w:rsidRDefault="00A36245" w:rsidP="00A3624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Mower A.G., jr. The convention on the rights of the child: Intern.law support for children. – Westport (Conn.); L.: Greenwood press, 1997.</w:t>
      </w:r>
    </w:p>
  </w:footnote>
  <w:footnote w:id="7">
    <w:p w:rsidR="00A36245" w:rsidRDefault="00A36245" w:rsidP="00A362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Nielsen, “Leading Cases of the European Court of Human Rights”, complied, edited an ann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tated by R.A. Lawson &amp; H.G. Schermers. Leiden</w:t>
      </w:r>
      <w:r>
        <w:rPr>
          <w:rFonts w:ascii="Times New Roman" w:hAnsi="Times New Roman" w:cs="Times New Roman"/>
          <w:sz w:val="24"/>
          <w:szCs w:val="24"/>
        </w:rPr>
        <w:t>, 1997, р.270</w:t>
      </w:r>
    </w:p>
  </w:footnote>
  <w:footnote w:id="8">
    <w:p w:rsidR="00A36245" w:rsidRDefault="00A36245" w:rsidP="00A3624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Olsson v. Sweden, Eriksson v.Sweden, Hoffman v. Austria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</w:footnote>
  <w:footnote w:id="9">
    <w:p w:rsidR="00A36245" w:rsidRDefault="00A36245" w:rsidP="00A362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Tyrer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UK</w:t>
      </w:r>
    </w:p>
  </w:footnote>
  <w:footnote w:id="10">
    <w:p w:rsidR="00A36245" w:rsidRDefault="00A36245" w:rsidP="00A36245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Campbell and Cosans v. UK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245"/>
    <w:rsid w:val="00005752"/>
    <w:rsid w:val="0001585A"/>
    <w:rsid w:val="00052FC9"/>
    <w:rsid w:val="00096E31"/>
    <w:rsid w:val="000C0AB5"/>
    <w:rsid w:val="000C76C3"/>
    <w:rsid w:val="000F0116"/>
    <w:rsid w:val="000F06B6"/>
    <w:rsid w:val="000F6B1C"/>
    <w:rsid w:val="000F6CDF"/>
    <w:rsid w:val="00121CB9"/>
    <w:rsid w:val="00124507"/>
    <w:rsid w:val="00146331"/>
    <w:rsid w:val="00146A2F"/>
    <w:rsid w:val="00154520"/>
    <w:rsid w:val="00157D3A"/>
    <w:rsid w:val="001D64EE"/>
    <w:rsid w:val="00212B43"/>
    <w:rsid w:val="00245C7C"/>
    <w:rsid w:val="002500EF"/>
    <w:rsid w:val="0026430D"/>
    <w:rsid w:val="00274CAE"/>
    <w:rsid w:val="002C0377"/>
    <w:rsid w:val="002C7267"/>
    <w:rsid w:val="002D0A0C"/>
    <w:rsid w:val="002E4D95"/>
    <w:rsid w:val="00317597"/>
    <w:rsid w:val="003221F5"/>
    <w:rsid w:val="00367CD5"/>
    <w:rsid w:val="003B5FB6"/>
    <w:rsid w:val="003C479C"/>
    <w:rsid w:val="004528CE"/>
    <w:rsid w:val="0047040A"/>
    <w:rsid w:val="004B24E7"/>
    <w:rsid w:val="0053465A"/>
    <w:rsid w:val="00537767"/>
    <w:rsid w:val="005700CA"/>
    <w:rsid w:val="005A1D09"/>
    <w:rsid w:val="005C2877"/>
    <w:rsid w:val="00601937"/>
    <w:rsid w:val="00665263"/>
    <w:rsid w:val="006C27C6"/>
    <w:rsid w:val="006D1A3A"/>
    <w:rsid w:val="006D1F03"/>
    <w:rsid w:val="006E52F1"/>
    <w:rsid w:val="006F07B0"/>
    <w:rsid w:val="00701524"/>
    <w:rsid w:val="0071064D"/>
    <w:rsid w:val="00740792"/>
    <w:rsid w:val="00745A08"/>
    <w:rsid w:val="0077064A"/>
    <w:rsid w:val="00784D48"/>
    <w:rsid w:val="007C7D7C"/>
    <w:rsid w:val="0081198D"/>
    <w:rsid w:val="00816B7A"/>
    <w:rsid w:val="00856CDC"/>
    <w:rsid w:val="00885916"/>
    <w:rsid w:val="0091400D"/>
    <w:rsid w:val="009270A1"/>
    <w:rsid w:val="0094344E"/>
    <w:rsid w:val="00944A13"/>
    <w:rsid w:val="00983724"/>
    <w:rsid w:val="009B423A"/>
    <w:rsid w:val="009B44BC"/>
    <w:rsid w:val="009B4BCA"/>
    <w:rsid w:val="009C215E"/>
    <w:rsid w:val="009F79FF"/>
    <w:rsid w:val="00A12E8F"/>
    <w:rsid w:val="00A36245"/>
    <w:rsid w:val="00A44510"/>
    <w:rsid w:val="00A57A5A"/>
    <w:rsid w:val="00B00C2A"/>
    <w:rsid w:val="00B1636A"/>
    <w:rsid w:val="00B25CE0"/>
    <w:rsid w:val="00B30C86"/>
    <w:rsid w:val="00B867C8"/>
    <w:rsid w:val="00BD294A"/>
    <w:rsid w:val="00C21101"/>
    <w:rsid w:val="00C32CBB"/>
    <w:rsid w:val="00C64F48"/>
    <w:rsid w:val="00C74146"/>
    <w:rsid w:val="00CA46FB"/>
    <w:rsid w:val="00CA4EED"/>
    <w:rsid w:val="00CB6288"/>
    <w:rsid w:val="00D5412A"/>
    <w:rsid w:val="00D80134"/>
    <w:rsid w:val="00D96961"/>
    <w:rsid w:val="00DD6F9E"/>
    <w:rsid w:val="00E054FA"/>
    <w:rsid w:val="00E93FE4"/>
    <w:rsid w:val="00EB22F3"/>
    <w:rsid w:val="00F57DA9"/>
    <w:rsid w:val="00F6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08"/>
  </w:style>
  <w:style w:type="paragraph" w:styleId="1">
    <w:name w:val="heading 1"/>
    <w:basedOn w:val="a"/>
    <w:next w:val="a"/>
    <w:link w:val="10"/>
    <w:qFormat/>
    <w:rsid w:val="00A3624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Arial"/>
      <w:b/>
      <w:bCs/>
      <w:color w:val="000000"/>
      <w:sz w:val="28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245"/>
    <w:rPr>
      <w:rFonts w:ascii="Times New Roman" w:eastAsia="Times New Roman" w:hAnsi="Times New Roman" w:cs="Arial"/>
      <w:b/>
      <w:bCs/>
      <w:color w:val="000000"/>
      <w:sz w:val="28"/>
      <w:szCs w:val="15"/>
      <w:shd w:val="clear" w:color="auto" w:fill="FFFFFF"/>
      <w:lang w:eastAsia="ru-RU"/>
    </w:rPr>
  </w:style>
  <w:style w:type="paragraph" w:styleId="a3">
    <w:name w:val="footnote text"/>
    <w:basedOn w:val="a"/>
    <w:link w:val="a4"/>
    <w:semiHidden/>
    <w:rsid w:val="00A362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36245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semiHidden/>
    <w:rsid w:val="00A36245"/>
    <w:rPr>
      <w:vertAlign w:val="superscript"/>
    </w:rPr>
  </w:style>
  <w:style w:type="paragraph" w:styleId="a6">
    <w:name w:val="Normal (Web)"/>
    <w:basedOn w:val="a"/>
    <w:rsid w:val="00A3624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2670</Words>
  <Characters>15225</Characters>
  <Application>Microsoft Office Word</Application>
  <DocSecurity>0</DocSecurity>
  <Lines>126</Lines>
  <Paragraphs>35</Paragraphs>
  <ScaleCrop>false</ScaleCrop>
  <Company/>
  <LinksUpToDate>false</LinksUpToDate>
  <CharactersWithSpaces>17860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1</cp:revision>
  <dcterms:created xsi:type="dcterms:W3CDTF">2017-07-25T09:36:00Z</dcterms:created>
  <dcterms:modified xsi:type="dcterms:W3CDTF">2017-07-25T09:36:00Z</dcterms:modified>
</cp:coreProperties>
</file>