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right"/>
        <w:textAlignment w:val="center"/>
        <w:rPr>
          <w:rFonts w:ascii="Arial" w:hAnsi="Arial" w:cs="Arial"/>
          <w:b/>
          <w:bCs/>
          <w:i/>
          <w:iCs/>
          <w:outline/>
          <w:color w:val="000000"/>
          <w:w w:val="90"/>
        </w:rPr>
      </w:pPr>
      <w:r w:rsidRPr="007570D4">
        <w:rPr>
          <w:rFonts w:ascii="Arial" w:hAnsi="Arial" w:cs="Arial"/>
          <w:b/>
          <w:bCs/>
          <w:i/>
          <w:iCs/>
          <w:color w:val="000000"/>
          <w:w w:val="90"/>
        </w:rPr>
        <w:t>Ю.В. Максимова</w:t>
      </w:r>
      <w:r w:rsidRPr="007570D4">
        <w:rPr>
          <w:rFonts w:ascii="Arial" w:hAnsi="Arial" w:cs="Arial"/>
          <w:b/>
          <w:bCs/>
          <w:i/>
          <w:iCs/>
          <w:color w:val="000000"/>
          <w:w w:val="90"/>
          <w:vertAlign w:val="superscript"/>
        </w:rPr>
        <w:t>*</w:t>
      </w:r>
      <w:r w:rsidRPr="007570D4">
        <w:rPr>
          <w:rFonts w:ascii="Arial" w:hAnsi="Arial" w:cs="Arial"/>
          <w:b/>
          <w:bCs/>
          <w:i/>
          <w:iCs/>
          <w:outline/>
          <w:color w:val="000000"/>
          <w:w w:val="90"/>
          <w:vertAlign w:val="superscript"/>
        </w:rPr>
        <w:footnoteReference w:id="1"/>
      </w:r>
    </w:p>
    <w:p w:rsidR="005E489E" w:rsidRPr="007570D4" w:rsidRDefault="005E489E" w:rsidP="005E489E">
      <w:pPr>
        <w:keepNext/>
        <w:autoSpaceDE w:val="0"/>
        <w:autoSpaceDN w:val="0"/>
        <w:adjustRightInd w:val="0"/>
        <w:spacing w:after="57" w:line="280" w:lineRule="atLeast"/>
        <w:jc w:val="right"/>
        <w:textAlignment w:val="center"/>
        <w:rPr>
          <w:rFonts w:ascii="Arial" w:hAnsi="Arial" w:cs="Arial"/>
          <w:b/>
          <w:bCs/>
          <w:i/>
          <w:iCs/>
          <w:outline/>
          <w:color w:val="000000"/>
          <w:w w:val="90"/>
        </w:rPr>
      </w:pPr>
      <w:r w:rsidRPr="007570D4">
        <w:rPr>
          <w:rFonts w:ascii="Arial" w:hAnsi="Arial" w:cs="Arial"/>
          <w:b/>
          <w:bCs/>
          <w:i/>
          <w:iCs/>
          <w:color w:val="000000"/>
          <w:w w:val="90"/>
        </w:rPr>
        <w:t>А.В. Емельянов</w:t>
      </w:r>
      <w:r w:rsidRPr="007570D4">
        <w:rPr>
          <w:rFonts w:ascii="Arial" w:hAnsi="Arial" w:cs="Arial"/>
          <w:b/>
          <w:bCs/>
          <w:i/>
          <w:iCs/>
          <w:color w:val="000000"/>
          <w:w w:val="90"/>
          <w:vertAlign w:val="superscript"/>
        </w:rPr>
        <w:t>**</w:t>
      </w:r>
      <w:r w:rsidRPr="007570D4">
        <w:rPr>
          <w:rFonts w:ascii="Arial" w:hAnsi="Arial" w:cs="Arial"/>
          <w:b/>
          <w:bCs/>
          <w:i/>
          <w:iCs/>
          <w:outline/>
          <w:color w:val="000000"/>
          <w:w w:val="90"/>
          <w:vertAlign w:val="superscript"/>
        </w:rPr>
        <w:footnoteReference w:id="2"/>
      </w:r>
    </w:p>
    <w:p w:rsidR="005E489E" w:rsidRPr="007570D4" w:rsidRDefault="005E489E" w:rsidP="005E489E">
      <w:pPr>
        <w:keepNext/>
        <w:autoSpaceDE w:val="0"/>
        <w:autoSpaceDN w:val="0"/>
        <w:adjustRightInd w:val="0"/>
        <w:spacing w:after="57" w:line="280" w:lineRule="atLeast"/>
        <w:jc w:val="right"/>
        <w:textAlignment w:val="center"/>
        <w:rPr>
          <w:rFonts w:ascii="Arial" w:hAnsi="Arial" w:cs="Arial"/>
          <w:b/>
          <w:bCs/>
          <w:i/>
          <w:iCs/>
          <w:outline/>
          <w:color w:val="000000"/>
          <w:w w:val="90"/>
        </w:rPr>
      </w:pPr>
      <w:r w:rsidRPr="007570D4">
        <w:rPr>
          <w:rFonts w:ascii="Arial" w:hAnsi="Arial" w:cs="Arial"/>
          <w:b/>
          <w:bCs/>
          <w:i/>
          <w:iCs/>
          <w:color w:val="000000"/>
          <w:w w:val="90"/>
        </w:rPr>
        <w:t>Н.В. </w:t>
      </w:r>
      <w:proofErr w:type="spellStart"/>
      <w:r w:rsidRPr="007570D4">
        <w:rPr>
          <w:rFonts w:ascii="Arial" w:hAnsi="Arial" w:cs="Arial"/>
          <w:b/>
          <w:bCs/>
          <w:i/>
          <w:iCs/>
          <w:color w:val="000000"/>
          <w:w w:val="90"/>
        </w:rPr>
        <w:t>Бывшев</w:t>
      </w:r>
      <w:proofErr w:type="spellEnd"/>
      <w:r w:rsidRPr="007570D4">
        <w:rPr>
          <w:rFonts w:ascii="Arial" w:hAnsi="Arial" w:cs="Arial"/>
          <w:b/>
          <w:bCs/>
          <w:i/>
          <w:iCs/>
          <w:color w:val="000000"/>
          <w:w w:val="90"/>
          <w:vertAlign w:val="superscript"/>
        </w:rPr>
        <w:t>***</w:t>
      </w:r>
      <w:r w:rsidRPr="007570D4">
        <w:rPr>
          <w:rFonts w:ascii="Arial" w:hAnsi="Arial" w:cs="Arial"/>
          <w:b/>
          <w:bCs/>
          <w:i/>
          <w:iCs/>
          <w:outline/>
          <w:color w:val="000000"/>
          <w:w w:val="90"/>
          <w:vertAlign w:val="superscript"/>
        </w:rPr>
        <w:footnoteReference w:id="3"/>
      </w:r>
    </w:p>
    <w:p w:rsidR="005E489E" w:rsidRPr="007570D4" w:rsidRDefault="005E489E" w:rsidP="005E489E">
      <w:pPr>
        <w:keepNext/>
        <w:autoSpaceDE w:val="0"/>
        <w:autoSpaceDN w:val="0"/>
        <w:adjustRightInd w:val="0"/>
        <w:spacing w:before="57" w:line="280" w:lineRule="atLeast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7570D4">
        <w:rPr>
          <w:b/>
          <w:bCs/>
          <w:color w:val="000000"/>
          <w:sz w:val="28"/>
          <w:szCs w:val="28"/>
        </w:rPr>
        <w:t>Разработка и внедрение в учебный процесс</w:t>
      </w:r>
    </w:p>
    <w:p w:rsidR="005E489E" w:rsidRPr="007570D4" w:rsidRDefault="005E489E" w:rsidP="005E489E">
      <w:pPr>
        <w:keepNext/>
        <w:autoSpaceDE w:val="0"/>
        <w:autoSpaceDN w:val="0"/>
        <w:adjustRightInd w:val="0"/>
        <w:spacing w:after="227" w:line="280" w:lineRule="atLeast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7570D4">
        <w:rPr>
          <w:b/>
          <w:bCs/>
          <w:color w:val="000000"/>
          <w:sz w:val="28"/>
          <w:szCs w:val="28"/>
        </w:rPr>
        <w:t>игрового компонента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  <w:spacing w:val="-5"/>
        </w:rPr>
      </w:pPr>
      <w:r w:rsidRPr="007570D4">
        <w:rPr>
          <w:color w:val="000000"/>
          <w:spacing w:val="-5"/>
        </w:rPr>
        <w:t xml:space="preserve">Ролевая игра – один из способов обучения и приобретения профессиональных навыков. Для студентов юридических вузов такой способ обучения имеет очень </w:t>
      </w:r>
      <w:proofErr w:type="gramStart"/>
      <w:r w:rsidRPr="007570D4">
        <w:rPr>
          <w:color w:val="000000"/>
          <w:spacing w:val="-5"/>
        </w:rPr>
        <w:t>важное значение</w:t>
      </w:r>
      <w:proofErr w:type="gramEnd"/>
      <w:r w:rsidRPr="007570D4">
        <w:rPr>
          <w:color w:val="000000"/>
          <w:spacing w:val="-5"/>
        </w:rPr>
        <w:t xml:space="preserve">. Деятельность юриста – это постоянное участие в судебных разбирательствах, споры между различного рода должностными лицами и органами, работа с клиентами, которые обращаются за помощью, и т.д. При этом юрист должен иметь навыки общения с клиентом, принимать участие во взаимоотношениях между клиентом и представителями органов власти, организаций, иметь навыки ведения дел в судах и т.д.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В процессе подготовки специалистов по специальности «Юриспруденция» зачастую преподаватели высших и средне специальных образовательных учреждений останавливаются на даче студентам теоретического материала, забывая о практической стороне деятельности юриста. Это приводит к тому, что студент, получивший диплом об окончании учебного заведения, не отвечает требованиям современной действительности. При окончании учебного заведения выпускники сталкиваются с рядом проблем: боязнь судебных заседаний, несоответствие требованиям, предъявляемым их работодателями, некачественное составление юридических и процессуальных документов. Это далеко не полный перечень тех проблем, с которыми сталкиваются студенты при окончании образовательного учреждения.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  <w:spacing w:val="-6"/>
        </w:rPr>
      </w:pPr>
      <w:r w:rsidRPr="007570D4">
        <w:rPr>
          <w:color w:val="000000"/>
          <w:spacing w:val="-6"/>
        </w:rPr>
        <w:t xml:space="preserve">Что касается уголовно-правовой специализации, то по данному направлению студенты, устраивающиеся в правоохранительные органы, не имеют представления о деятельности следователя, дознавателя и других работников, та же проблема существует и в адвокатуре. Получается, что уже окончившего образовательное учреждение специалиста необходимо доучивать уже, так сказать, «в боевых условиях», что может негативно сказаться на дальнейшем карьерном росте данного специалиста.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Именно получение навыков работы следователя, дознавателя, адвоката, помощника прокурора и т.д. поможет студентам при осуществлении своей трудовой деятельности и повысит качество выполняемой ими работы.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Один из наиболее эффективных способов получения данных навыков – это ролевые игры, своего рода модель той или иной ситуации, которые возникают при осуществлении юристом своей трудовой деятельности. Ролевые игры позволяют студентам «в </w:t>
      </w:r>
      <w:proofErr w:type="gramStart"/>
      <w:r w:rsidRPr="007570D4">
        <w:rPr>
          <w:color w:val="000000"/>
        </w:rPr>
        <w:t>живую</w:t>
      </w:r>
      <w:proofErr w:type="gramEnd"/>
      <w:r w:rsidRPr="007570D4">
        <w:rPr>
          <w:color w:val="000000"/>
        </w:rPr>
        <w:t xml:space="preserve">» увидеть то, с чем им придется столкнуться после окончания учебного заведения. Также неоценимую роль игра занимает в получении студентом навыков составления процессуальных документов. При ролевой игре у студента появляется возможность применения своих теоретических знаний на практике без дальнейших негативных последствий для самих студентов.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Но применение ролевых игр не сводиться к моделированию только одной ситуации, например проведения такого следственного действия, как осмотр места происшествия. </w:t>
      </w:r>
      <w:r w:rsidRPr="007570D4">
        <w:rPr>
          <w:color w:val="000000"/>
        </w:rPr>
        <w:lastRenderedPageBreak/>
        <w:t xml:space="preserve">Мы предлагаем при помощи ролевой игры комплексное изучение уголовно-процессуального законодательства, поскольку уголовный процесс – это основная дисциплина для студентов, обучающихся по уголовно-правовой специализации. Уголовно-процессуальное право изучается на третьем курсе вузов, поэтому ролевую игру, о которой будет рассказано ниже, необходимо проводить с теми студентами, у которых уже имеются теоретические знания по этой дисциплине.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Суть предлагаемой для введения в учебный процесс ролевой игры заключается в следующем: </w:t>
      </w:r>
      <w:r w:rsidRPr="007570D4">
        <w:rPr>
          <w:i/>
          <w:iCs/>
          <w:color w:val="000000"/>
        </w:rPr>
        <w:t>проведение предварительного следствия и судебного рассмотрения уголовного дела.</w:t>
      </w:r>
      <w:r w:rsidRPr="007570D4">
        <w:rPr>
          <w:color w:val="000000"/>
        </w:rPr>
        <w:t xml:space="preserve"> Из числа студентов выбираются участники этой игры. </w:t>
      </w:r>
      <w:proofErr w:type="gramStart"/>
      <w:r w:rsidRPr="007570D4">
        <w:rPr>
          <w:color w:val="000000"/>
        </w:rPr>
        <w:t>Между студентами распределяются роли: потерпевший, следователь, дознаватель, прокурор, начальник следственного отдела, судья, секретарь судебного заседания, адвокат, обвиняемый, свидетели, эксперты, понятые, переводчик, специалист.</w:t>
      </w:r>
      <w:proofErr w:type="gramEnd"/>
      <w:r w:rsidRPr="007570D4">
        <w:rPr>
          <w:color w:val="000000"/>
        </w:rPr>
        <w:t xml:space="preserve"> Моделируется совершение преступления. Это может быть практически любое преступление (кража, убийство, грабеж, разбой и т.д.).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proofErr w:type="gramStart"/>
      <w:r w:rsidRPr="007570D4">
        <w:rPr>
          <w:color w:val="000000"/>
        </w:rPr>
        <w:t xml:space="preserve">Моделирование происходит с учетом того, что при совершении преступления будут очевидцы, которые в дальнейшем станут свидетелями, но это не означает подготовку заранее продуманного выступления свидетеля перед следователем или судом, в данном случае очевидцы должны наблюдать сам процесс совершения преступления, и уже на основании той информации, которую они запомнят, должна проходить их дальнейшая деятельность в игровом процессе. </w:t>
      </w:r>
      <w:proofErr w:type="gramEnd"/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  <w:spacing w:val="-4"/>
        </w:rPr>
      </w:pPr>
      <w:r w:rsidRPr="007570D4">
        <w:rPr>
          <w:color w:val="000000"/>
          <w:spacing w:val="-4"/>
        </w:rPr>
        <w:t xml:space="preserve">После этого студентам предлагается провести предварительное расследование и рассмотрение данного учебного дела в суде. Студенты в соответствии с Уголовно-процессуальным кодексом РФ осуществляют предварительное следствие. Ход предварительного следствия, выбор следственных действий, порядок и последовательность их производства определяются самими студентами. Для более быстрого производства предварительного следствия над одним учебным делом могут работать несколько студентов, групповой метод расследования осуществляется в соответствии с УПК РФ.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Но проведение предварительного следствия не означает участия только тех студентов, которые выбрали роль следователей или дознавателей, в игровой процесс на этой стадии должны быть включены все участники (адвокаты при производстве отдельных следственных действий, судьи при санкционировании проведения следственных действий, прокуроры и т.д.). Как сторона обвинения, так и сторона защиты должны выбирать тактику своих действий. Не должно быть пассивного участия в игровом процессе. На данной стадии студенты составляют самостоятельно все процессуальные документы; для этой цели необходимо имеет архивное уголовное дело или процессуальные документы, которые присутствовали в реальном деле. Предварительное следствие производится в соответствии с теми сроками, которые установлены в УПК РФ.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После проведения предварительного следствия уголовное дело передается в суд для рассмотрения и вынесения приговора. Причем судебное заседание также производится по всем правилам действующего законодательства. При проведении судебного заседания ведется протокол судебного заседания. Дело рассматривается в полном соответствии с УПК РФ. Студенты, выбравшие роль государственного обвинителя, самостоятельно изучают материалы для подготовки к поддержанию обвинения в суде, аналогичную работу делают и студенты, выбравшие роль адвокатов.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В процессе рассмотрения дела судом студенты изучают собранные доказательства, заявляют ходатайства и отводы и т.д. Заканчивается рассмотрения уголовного дела вынесением приговора, который может быть обжалован опять же по инициативе студента, а не преподавателя. При обжаловании студенты составляют соответствующие документы.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В процессе игры вмешательство преподавателей должно носить наблюдательный и консультационный характер (только в том случае, если об этом попросит студент, вмешательства по собственной инициативе преподавателя не должно быть). В процессе </w:t>
      </w:r>
      <w:r w:rsidRPr="007570D4">
        <w:rPr>
          <w:color w:val="000000"/>
        </w:rPr>
        <w:lastRenderedPageBreak/>
        <w:t xml:space="preserve">игры могут быть добавлены или удалены из нее участники (рассмотрение дела судом присяжных, отказ от защитника, отводы и самоотводы и т.д.).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После окончания игрового процесса преподаватель указывает студентам на их ошибки и недочеты. На мой взгляд, такую игру необходимо проводить несколько раз с одними и теми же студентами, </w:t>
      </w:r>
      <w:r w:rsidRPr="005E489E">
        <w:rPr>
          <w:color w:val="000000"/>
        </w:rPr>
        <w:t>н</w:t>
      </w:r>
      <w:r w:rsidRPr="007570D4">
        <w:rPr>
          <w:color w:val="000000"/>
        </w:rPr>
        <w:t xml:space="preserve">е меняя ролей.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</w:rPr>
      </w:pPr>
      <w:r w:rsidRPr="007570D4">
        <w:rPr>
          <w:color w:val="000000"/>
        </w:rPr>
        <w:t xml:space="preserve">Участие студентов в подобной ролевой игре поможет им в приобретении профессиональных навыков, поможет определиться в дальнейшем с выбором рода своей деятельности, познакомит студентов с особенностями деятельности тех или иных должностных лиц. </w:t>
      </w:r>
    </w:p>
    <w:p w:rsidR="005E489E" w:rsidRPr="007570D4" w:rsidRDefault="005E489E" w:rsidP="005E489E">
      <w:pPr>
        <w:autoSpaceDE w:val="0"/>
        <w:autoSpaceDN w:val="0"/>
        <w:adjustRightInd w:val="0"/>
        <w:spacing w:line="280" w:lineRule="atLeast"/>
        <w:ind w:firstLine="340"/>
        <w:jc w:val="both"/>
        <w:textAlignment w:val="center"/>
        <w:rPr>
          <w:color w:val="000000"/>
          <w:sz w:val="28"/>
          <w:szCs w:val="28"/>
        </w:rPr>
      </w:pPr>
      <w:r w:rsidRPr="007570D4">
        <w:rPr>
          <w:color w:val="000000"/>
          <w:spacing w:val="-7"/>
        </w:rPr>
        <w:t>Такого рода игры отвлекают студентов от однообразных занятий в виде лекции и семинаров, помогут вызвать у них интерес к обучению и получению дальнейших профессиональных знаний и навыков.</w:t>
      </w:r>
    </w:p>
    <w:p w:rsidR="003C075E" w:rsidRPr="005E489E" w:rsidRDefault="003C075E" w:rsidP="005E489E">
      <w:pPr>
        <w:rPr>
          <w:lang w:val="en-US"/>
        </w:rPr>
      </w:pPr>
    </w:p>
    <w:sectPr w:rsidR="003C075E" w:rsidRPr="005E489E" w:rsidSect="003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1C" w:rsidRDefault="005A431C" w:rsidP="005E489E">
      <w:r>
        <w:separator/>
      </w:r>
    </w:p>
  </w:endnote>
  <w:endnote w:type="continuationSeparator" w:id="0">
    <w:p w:rsidR="005A431C" w:rsidRDefault="005A431C" w:rsidP="005E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1C" w:rsidRDefault="005A431C" w:rsidP="005E489E">
      <w:r>
        <w:separator/>
      </w:r>
    </w:p>
  </w:footnote>
  <w:footnote w:type="continuationSeparator" w:id="0">
    <w:p w:rsidR="005A431C" w:rsidRDefault="005A431C" w:rsidP="005E489E">
      <w:r>
        <w:continuationSeparator/>
      </w:r>
    </w:p>
  </w:footnote>
  <w:footnote w:id="1">
    <w:p w:rsidR="005E489E" w:rsidRDefault="005E489E" w:rsidP="005E489E">
      <w:pPr>
        <w:pStyle w:val="0421043D043E0441043A0430"/>
      </w:pPr>
      <w:r>
        <w:rPr>
          <w:vertAlign w:val="superscript"/>
        </w:rPr>
        <w:footnoteRef/>
      </w:r>
      <w:r>
        <w:rPr>
          <w:i/>
          <w:iCs/>
          <w:vertAlign w:val="superscript"/>
        </w:rPr>
        <w:t>*</w:t>
      </w:r>
      <w:r>
        <w:rPr>
          <w:i/>
          <w:iCs/>
        </w:rPr>
        <w:t> </w:t>
      </w:r>
      <w:r>
        <w:rPr>
          <w:i/>
          <w:iCs/>
        </w:rPr>
        <w:t>Старший преподаватель кафедры гражданского права и процесса Института истории и права Хакасского государственного университета им. Н.Ф. Катанова, руководитель юридической клиники.</w:t>
      </w:r>
    </w:p>
  </w:footnote>
  <w:footnote w:id="2">
    <w:p w:rsidR="005E489E" w:rsidRDefault="005E489E" w:rsidP="005E489E">
      <w:pPr>
        <w:pStyle w:val="0421043D043E0441043A0430"/>
      </w:pPr>
      <w:r>
        <w:rPr>
          <w:vertAlign w:val="superscript"/>
        </w:rPr>
        <w:footnoteRef/>
      </w:r>
      <w:r>
        <w:rPr>
          <w:i/>
          <w:iCs/>
          <w:vertAlign w:val="superscript"/>
        </w:rPr>
        <w:t>**</w:t>
      </w:r>
      <w:r>
        <w:rPr>
          <w:i/>
          <w:iCs/>
        </w:rPr>
        <w:t> </w:t>
      </w:r>
      <w:r>
        <w:rPr>
          <w:i/>
          <w:iCs/>
        </w:rPr>
        <w:t>Ассистент кафедры гражданского права и процесса Института истории и права Хакасского государственного университета им. Н.Ф. Катанова, администратор юридической клиники по гражданскому праву.</w:t>
      </w:r>
    </w:p>
  </w:footnote>
  <w:footnote w:id="3">
    <w:p w:rsidR="005E489E" w:rsidRDefault="005E489E" w:rsidP="005E489E">
      <w:pPr>
        <w:pStyle w:val="0421043D043E0441043A0430"/>
        <w:rPr>
          <w:i/>
          <w:iCs/>
        </w:rPr>
      </w:pPr>
      <w:r>
        <w:rPr>
          <w:vertAlign w:val="superscript"/>
        </w:rPr>
        <w:footnoteRef/>
      </w:r>
      <w:r>
        <w:rPr>
          <w:i/>
          <w:iCs/>
          <w:vertAlign w:val="superscript"/>
        </w:rPr>
        <w:t>***</w:t>
      </w:r>
      <w:r>
        <w:rPr>
          <w:i/>
          <w:iCs/>
        </w:rPr>
        <w:t> </w:t>
      </w:r>
      <w:r>
        <w:rPr>
          <w:i/>
          <w:iCs/>
        </w:rPr>
        <w:t xml:space="preserve">Студент 5-го курса Института истории и права Хакасского государственного университета </w:t>
      </w:r>
      <w:r>
        <w:rPr>
          <w:i/>
          <w:iCs/>
        </w:rPr>
        <w:br/>
        <w:t>им. Н.Ф. Катанова, администратор юридической клиники по уголовному праву.</w:t>
      </w:r>
    </w:p>
    <w:p w:rsidR="005E489E" w:rsidRDefault="005E489E" w:rsidP="005E489E">
      <w:pPr>
        <w:pStyle w:val="0421043D043E0441043A043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9E"/>
    <w:rsid w:val="003C075E"/>
    <w:rsid w:val="005A431C"/>
    <w:rsid w:val="005E489E"/>
    <w:rsid w:val="00B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1043D043E0441043A0430">
    <w:name w:val="&lt;0421&gt;&lt;043D&gt;&lt;043E&gt;&lt;0441&gt;&lt;043A&gt;&lt;0430&gt;"/>
    <w:basedOn w:val="a"/>
    <w:rsid w:val="005E489E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Company>DNS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2017-08-07T18:41:00Z</dcterms:created>
  <dcterms:modified xsi:type="dcterms:W3CDTF">2017-08-07T18:42:00Z</dcterms:modified>
</cp:coreProperties>
</file>