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04" w:rsidRDefault="00006F04" w:rsidP="00006F04">
      <w:pPr>
        <w:pStyle w:val="2"/>
        <w:jc w:val="center"/>
        <w:rPr>
          <w:i w:val="0"/>
          <w:iCs/>
          <w:sz w:val="24"/>
        </w:rPr>
      </w:pPr>
      <w:bookmarkStart w:id="0" w:name="_Toc461633849"/>
      <w:bookmarkStart w:id="1" w:name="_Toc461867334"/>
      <w:bookmarkStart w:id="2" w:name="_Toc461870113"/>
      <w:bookmarkStart w:id="3" w:name="_Toc461870470"/>
      <w:bookmarkStart w:id="4" w:name="_Toc461870543"/>
      <w:bookmarkStart w:id="5" w:name="_Toc461871194"/>
      <w:bookmarkStart w:id="6" w:name="_Toc461871497"/>
      <w:bookmarkStart w:id="7" w:name="_Toc461879631"/>
      <w:bookmarkStart w:id="8" w:name="_Toc461880455"/>
      <w:bookmarkStart w:id="9" w:name="_Toc461880523"/>
      <w:bookmarkStart w:id="10" w:name="_Toc461880786"/>
      <w:bookmarkStart w:id="11" w:name="_Toc461880931"/>
      <w:bookmarkStart w:id="12" w:name="_Toc461881021"/>
      <w:bookmarkStart w:id="13" w:name="_Toc461881243"/>
      <w:r>
        <w:rPr>
          <w:i w:val="0"/>
          <w:iCs/>
          <w:sz w:val="24"/>
        </w:rPr>
        <w:t>МЕТОДИКИ КЛИНИЧЕСКОГО ОБРАЗОВАНИЯ —</w:t>
      </w:r>
      <w:bookmarkEnd w:id="2"/>
      <w:r>
        <w:rPr>
          <w:i w:val="0"/>
          <w:iCs/>
          <w:sz w:val="24"/>
        </w:rPr>
        <w:t xml:space="preserve"> </w:t>
      </w:r>
      <w:bookmarkStart w:id="14" w:name="_Toc461870114"/>
      <w:r>
        <w:rPr>
          <w:i w:val="0"/>
          <w:iCs/>
          <w:sz w:val="24"/>
        </w:rPr>
        <w:t>УЧЕБНЫЕ КУРСЫ</w:t>
      </w:r>
      <w:bookmarkStart w:id="15" w:name="_Toc461870115"/>
      <w:bookmarkEnd w:id="0"/>
      <w:bookmarkEnd w:id="1"/>
      <w:bookmarkEnd w:id="3"/>
      <w:bookmarkEnd w:id="4"/>
      <w:bookmarkEnd w:id="5"/>
      <w:bookmarkEnd w:id="6"/>
      <w:bookmarkEnd w:id="7"/>
      <w:bookmarkEnd w:id="8"/>
      <w:bookmarkEnd w:id="9"/>
      <w:bookmarkEnd w:id="10"/>
      <w:bookmarkEnd w:id="11"/>
      <w:bookmarkEnd w:id="12"/>
      <w:bookmarkEnd w:id="13"/>
      <w:bookmarkEnd w:id="14"/>
    </w:p>
    <w:p w:rsidR="00006F04" w:rsidRDefault="00006F04" w:rsidP="00006F04"/>
    <w:p w:rsidR="00006F04" w:rsidRDefault="00006F04" w:rsidP="00006F04">
      <w:pPr>
        <w:pStyle w:val="a6"/>
        <w:jc w:val="left"/>
        <w:rPr>
          <w:rFonts w:ascii="Times New Roman" w:hAnsi="Times New Roman"/>
          <w:sz w:val="22"/>
        </w:rPr>
      </w:pPr>
      <w:bookmarkStart w:id="16" w:name="_Toc461870471"/>
      <w:r>
        <w:rPr>
          <w:rFonts w:ascii="Times New Roman" w:hAnsi="Times New Roman"/>
          <w:sz w:val="22"/>
        </w:rPr>
        <w:t xml:space="preserve">Мира Гур-Ари, </w:t>
      </w:r>
    </w:p>
    <w:p w:rsidR="00006F04" w:rsidRDefault="00006F04" w:rsidP="00006F04">
      <w:pPr>
        <w:pStyle w:val="a6"/>
        <w:jc w:val="left"/>
        <w:rPr>
          <w:rFonts w:ascii="Times New Roman" w:hAnsi="Times New Roman"/>
          <w:sz w:val="22"/>
        </w:rPr>
      </w:pPr>
      <w:r>
        <w:rPr>
          <w:rFonts w:ascii="Times New Roman" w:hAnsi="Times New Roman"/>
          <w:sz w:val="22"/>
        </w:rPr>
        <w:t>Фонд Форда</w:t>
      </w:r>
      <w:bookmarkEnd w:id="15"/>
      <w:bookmarkEnd w:id="16"/>
    </w:p>
    <w:p w:rsidR="00006F04" w:rsidRDefault="00006F04" w:rsidP="00006F04">
      <w:pPr>
        <w:pStyle w:val="a8"/>
        <w:rPr>
          <w:b w:val="0"/>
          <w:iCs/>
          <w:sz w:val="22"/>
        </w:rPr>
      </w:pPr>
    </w:p>
    <w:p w:rsidR="00006F04" w:rsidRDefault="00006F04" w:rsidP="00006F04">
      <w:pPr>
        <w:pStyle w:val="a8"/>
        <w:ind w:firstLine="567"/>
        <w:jc w:val="both"/>
        <w:rPr>
          <w:rFonts w:ascii="Times New Roman" w:hAnsi="Times New Roman"/>
          <w:b w:val="0"/>
          <w:sz w:val="22"/>
        </w:rPr>
      </w:pPr>
      <w:r>
        <w:rPr>
          <w:rFonts w:ascii="Times New Roman" w:hAnsi="Times New Roman"/>
          <w:b w:val="0"/>
          <w:sz w:val="22"/>
        </w:rPr>
        <w:tab/>
        <w:t>Существует множество способов предоставить студентам возможность получить практический опыт работы: студенты могут стажироваться в прокуратуре, работать помощниками адвоката в частном адвокатском бюро, волонтерами в общественной организации или в юридической клинике при университете. Однако есть одна особенность, которая отличает клиническую образовательную методику от всех прочих, — ее стремление дополнять практический опыт студентов обучением и постоянным контролем. Сотрудники клиник, отвечающие за руководство работой студентов, тратят довольно много времени на то, чтобы обеспечить подготовку студентов до начала их работы по реальному делу и чтобы тщательно наблюдать за работой студента с целью обеспечения должного уровня компетентности и эффективности оказываемых клиенту услуг.</w:t>
      </w:r>
    </w:p>
    <w:p w:rsidR="00006F04" w:rsidRDefault="00006F04" w:rsidP="00006F04">
      <w:pPr>
        <w:pStyle w:val="a8"/>
        <w:ind w:firstLine="567"/>
        <w:jc w:val="both"/>
        <w:rPr>
          <w:rFonts w:ascii="Times New Roman" w:hAnsi="Times New Roman"/>
          <w:b w:val="0"/>
          <w:sz w:val="22"/>
        </w:rPr>
      </w:pPr>
      <w:r>
        <w:rPr>
          <w:rFonts w:ascii="Times New Roman" w:hAnsi="Times New Roman"/>
          <w:b w:val="0"/>
          <w:sz w:val="22"/>
        </w:rPr>
        <w:tab/>
        <w:t>Для облегчения этого процесса многие юридические клиники при университетах и общественные организации, принимающие студентов на стажировки, включают в свои программы учебные курсы или тренинги, в ходе которых студенты получают информацию о соответствующих отраслях права, обучаются необходимым практическим навыкам работы юриста, выполняют упражнения в форме ролевых игр, участвуют в дискуссиях о профессиональной ответственности и отношениях между юристом и его клиентом, а также получают возможность проанализировать свою работу с руководителями.</w:t>
      </w:r>
    </w:p>
    <w:p w:rsidR="00006F04" w:rsidRDefault="00006F04" w:rsidP="00006F04">
      <w:pPr>
        <w:pStyle w:val="a8"/>
        <w:ind w:firstLine="567"/>
        <w:jc w:val="both"/>
        <w:rPr>
          <w:rFonts w:ascii="Times New Roman" w:hAnsi="Times New Roman"/>
          <w:b w:val="0"/>
          <w:sz w:val="22"/>
        </w:rPr>
      </w:pPr>
      <w:r>
        <w:rPr>
          <w:rFonts w:ascii="Times New Roman" w:hAnsi="Times New Roman"/>
          <w:b w:val="0"/>
          <w:sz w:val="22"/>
        </w:rPr>
        <w:tab/>
        <w:t>Практический опыт студентов, таким образом, состоит из двух частей: непосредственная работа по делам и учебный курс. Учебный курс может читаться в составе общефакультетского курса по судебной адвокатуре (навыки работы адвоката в суде), как отдельный «спецкурс» или как регулярные собрания в помещении общественной организации в неучебное время. Клиническая методика преподавания отличается от традиционных методик не только по содержанию, но и по стилю. Она требует от студентов активного участие в собственном образовании, а от преподавателей — творческого и инновационного подхода. «Клиническое» обучение может быть иметь самую разную структуру и включать в себя целый ряд методов обучения. Ниже перечислены лишь некоторые из этих методов. Они могут использоваться отдельно или в сочетании в рамках одного и того же занятия.</w:t>
      </w:r>
    </w:p>
    <w:p w:rsidR="00006F04" w:rsidRDefault="00006F04" w:rsidP="00006F04">
      <w:pPr>
        <w:pStyle w:val="a8"/>
        <w:ind w:firstLine="567"/>
        <w:jc w:val="both"/>
        <w:rPr>
          <w:rFonts w:ascii="Times New Roman" w:hAnsi="Times New Roman"/>
          <w:b w:val="0"/>
          <w:sz w:val="22"/>
        </w:rPr>
      </w:pPr>
    </w:p>
    <w:tbl>
      <w:tblPr>
        <w:tblW w:w="0" w:type="auto"/>
        <w:tblLayout w:type="fixed"/>
        <w:tblLook w:val="0000"/>
      </w:tblPr>
      <w:tblGrid>
        <w:gridCol w:w="4261"/>
        <w:gridCol w:w="4919"/>
      </w:tblGrid>
      <w:tr w:rsidR="00006F04" w:rsidTr="00E5000B">
        <w:tblPrEx>
          <w:tblCellMar>
            <w:top w:w="0" w:type="dxa"/>
            <w:bottom w:w="0" w:type="dxa"/>
          </w:tblCellMar>
        </w:tblPrEx>
        <w:trPr>
          <w:cantSplit/>
        </w:trPr>
        <w:tc>
          <w:tcPr>
            <w:tcW w:w="9180" w:type="dxa"/>
            <w:gridSpan w:val="2"/>
          </w:tcPr>
          <w:p w:rsidR="00006F04" w:rsidRDefault="00006F04" w:rsidP="00E5000B">
            <w:pPr>
              <w:pStyle w:val="a8"/>
              <w:ind w:firstLine="567"/>
              <w:rPr>
                <w:rFonts w:ascii="Times New Roman" w:hAnsi="Times New Roman"/>
                <w:iCs/>
                <w:sz w:val="22"/>
              </w:rPr>
            </w:pPr>
            <w:r>
              <w:rPr>
                <w:rFonts w:ascii="Times New Roman" w:hAnsi="Times New Roman"/>
                <w:iCs/>
                <w:sz w:val="22"/>
              </w:rPr>
              <w:t>Рекомендуемые методы проведения занятий</w:t>
            </w:r>
          </w:p>
        </w:tc>
      </w:tr>
      <w:tr w:rsidR="00006F04" w:rsidTr="00E5000B">
        <w:tblPrEx>
          <w:tblCellMar>
            <w:top w:w="0" w:type="dxa"/>
            <w:bottom w:w="0" w:type="dxa"/>
          </w:tblCellMar>
        </w:tblPrEx>
        <w:tc>
          <w:tcPr>
            <w:tcW w:w="4261" w:type="dxa"/>
          </w:tcPr>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Выступления</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Дискуссии</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Дебаты студентов</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Ролевые игры</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Инсценировки судебных процессов</w:t>
            </w:r>
          </w:p>
        </w:tc>
        <w:tc>
          <w:tcPr>
            <w:tcW w:w="4919" w:type="dxa"/>
          </w:tcPr>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Доклады студентов</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Встречи студентов с руководителями</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Рассказы студентов о своих делах</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Приглашенные лекторы</w:t>
            </w:r>
          </w:p>
          <w:p w:rsidR="00006F04" w:rsidRDefault="00006F04" w:rsidP="00E5000B">
            <w:pPr>
              <w:pStyle w:val="a8"/>
              <w:ind w:firstLine="567"/>
              <w:jc w:val="both"/>
              <w:rPr>
                <w:rFonts w:ascii="Times New Roman" w:hAnsi="Times New Roman"/>
                <w:b w:val="0"/>
                <w:sz w:val="22"/>
              </w:rPr>
            </w:pPr>
            <w:r>
              <w:rPr>
                <w:rFonts w:ascii="Times New Roman" w:hAnsi="Times New Roman"/>
                <w:b w:val="0"/>
                <w:sz w:val="22"/>
              </w:rPr>
              <w:t>Экскурсии</w:t>
            </w:r>
          </w:p>
        </w:tc>
      </w:tr>
    </w:tbl>
    <w:p w:rsidR="00006F04" w:rsidRDefault="00006F04" w:rsidP="00006F04">
      <w:pPr>
        <w:pStyle w:val="a8"/>
        <w:ind w:firstLine="567"/>
        <w:jc w:val="both"/>
        <w:rPr>
          <w:rFonts w:ascii="Times New Roman" w:hAnsi="Times New Roman"/>
          <w:b w:val="0"/>
          <w:sz w:val="22"/>
        </w:rPr>
      </w:pP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Выступления.</w:t>
      </w:r>
      <w:r>
        <w:rPr>
          <w:rFonts w:ascii="Times New Roman" w:hAnsi="Times New Roman"/>
          <w:b w:val="0"/>
          <w:sz w:val="22"/>
        </w:rPr>
        <w:t xml:space="preserve"> В ходе работы со студентами в клинике последним необходимо получить довольно значительный объем информации — как о практических навыках, так и о материальном и процессуальном праве. С этой целью инструкторы могут проводить выступления в форме лекций. Есть много вариантов структуры таких выступлений и способов повышения их эффективности путем использования интерактивных методов преподавания. </w:t>
      </w:r>
      <w:r>
        <w:rPr>
          <w:rFonts w:ascii="Times New Roman" w:hAnsi="Times New Roman"/>
          <w:b w:val="0"/>
          <w:i/>
          <w:sz w:val="22"/>
        </w:rPr>
        <w:t>См. «Интерактивные методы обучения» ниже.</w:t>
      </w:r>
    </w:p>
    <w:p w:rsidR="00006F04" w:rsidRDefault="00006F04" w:rsidP="00006F04">
      <w:pPr>
        <w:pStyle w:val="a8"/>
        <w:ind w:firstLine="567"/>
        <w:jc w:val="both"/>
        <w:rPr>
          <w:rFonts w:ascii="Times New Roman" w:hAnsi="Times New Roman"/>
          <w:b w:val="0"/>
          <w:sz w:val="22"/>
        </w:rPr>
      </w:pP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 xml:space="preserve">Дискуссии. </w:t>
      </w:r>
      <w:r>
        <w:rPr>
          <w:rFonts w:ascii="Times New Roman" w:hAnsi="Times New Roman"/>
          <w:b w:val="0"/>
          <w:sz w:val="22"/>
        </w:rPr>
        <w:t xml:space="preserve">Иногда преподавателю бывает необходимо более подробное рассмотрение правовой проблемы или практической темы со всей группой. Один из эффективных способов для этого — организация дискуссии среди студентов, что позволяет предоставить им возможность задать вопросы и обменяться мыслями по тому или иному вопросу. Однако дискуссии должны быть </w:t>
      </w:r>
      <w:r>
        <w:rPr>
          <w:rFonts w:ascii="Times New Roman" w:hAnsi="Times New Roman"/>
          <w:b w:val="0"/>
          <w:i/>
          <w:sz w:val="22"/>
        </w:rPr>
        <w:t>спланированы</w:t>
      </w:r>
      <w:r>
        <w:rPr>
          <w:rFonts w:ascii="Times New Roman" w:hAnsi="Times New Roman"/>
          <w:b w:val="0"/>
          <w:sz w:val="22"/>
        </w:rPr>
        <w:t xml:space="preserve"> с определенной целью и направляться ведущим. </w:t>
      </w:r>
      <w:r>
        <w:rPr>
          <w:rFonts w:ascii="Times New Roman" w:hAnsi="Times New Roman"/>
          <w:b w:val="0"/>
          <w:i/>
          <w:sz w:val="22"/>
        </w:rPr>
        <w:t>См. стр. 18.</w:t>
      </w:r>
    </w:p>
    <w:p w:rsidR="00006F04" w:rsidRDefault="00006F04" w:rsidP="00006F04">
      <w:pPr>
        <w:pStyle w:val="a8"/>
        <w:ind w:firstLine="567"/>
        <w:jc w:val="both"/>
        <w:rPr>
          <w:rFonts w:ascii="Times New Roman" w:hAnsi="Times New Roman"/>
          <w:b w:val="0"/>
          <w:sz w:val="22"/>
        </w:rPr>
      </w:pPr>
      <w:r>
        <w:rPr>
          <w:rFonts w:ascii="Times New Roman" w:hAnsi="Times New Roman"/>
          <w:b w:val="0"/>
          <w:sz w:val="22"/>
        </w:rPr>
        <w:t xml:space="preserve">Дискуссия должна проводиться так, чтобы в ней не доминировали все время одни и те же люди, и чтобы у каждого была возможность высказаться. Одним из методов достижения этого идеала является так называемый «билет на высказывание», когда каждый участник получает три «билета» (например, три спички или скрепки) и обязан отдавать по одному «билету» ведущему (или другому студенту) раз, когда он высказывается. Когда «билеты» у участника заканчивается, </w:t>
      </w:r>
      <w:r>
        <w:rPr>
          <w:rFonts w:ascii="Times New Roman" w:hAnsi="Times New Roman"/>
          <w:b w:val="0"/>
          <w:sz w:val="22"/>
        </w:rPr>
        <w:lastRenderedPageBreak/>
        <w:t>он теряет право на дальнейшее участие в дискуссии.</w:t>
      </w:r>
      <w:r>
        <w:rPr>
          <w:rStyle w:val="a5"/>
          <w:rFonts w:ascii="Times New Roman" w:hAnsi="Times New Roman"/>
          <w:b w:val="0"/>
          <w:sz w:val="22"/>
        </w:rPr>
        <w:footnoteReference w:id="2"/>
      </w:r>
      <w:r>
        <w:rPr>
          <w:rFonts w:ascii="Times New Roman" w:hAnsi="Times New Roman"/>
          <w:b w:val="0"/>
          <w:sz w:val="22"/>
        </w:rPr>
        <w:t xml:space="preserve"> Планируя дискуссию, преподаватель должен сформулировать основные вопросы, на которые должны быть даны ответы в ходе дискуссии. Завершая дискуссию, инструктор должен связать воедино основные моменты и сформулировать общие принципы.</w:t>
      </w:r>
      <w:r>
        <w:rPr>
          <w:rStyle w:val="a5"/>
          <w:rFonts w:ascii="Times New Roman" w:hAnsi="Times New Roman"/>
          <w:b w:val="0"/>
          <w:sz w:val="22"/>
        </w:rPr>
        <w:footnoteReference w:customMarkFollows="1" w:id="3"/>
        <w:t>2</w:t>
      </w: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Дебаты и доклады студентов.</w:t>
      </w:r>
      <w:r>
        <w:rPr>
          <w:rFonts w:ascii="Times New Roman" w:hAnsi="Times New Roman"/>
          <w:b w:val="0"/>
          <w:sz w:val="22"/>
        </w:rPr>
        <w:t xml:space="preserve"> Если в ходе работы студентов или выступления преподавателя возникает какой-то особо острый вопрос, этим следует пользоваться как удобным случаем для обучения. Одним из методов возбуждения интереса студентов к анализу вопроса является разделение студентов на две группы с целью подготовки к дебатам. Другой вариант — индивидуальная подготовка студентов к докладам перед коллегами. При проведении дебатов каждой группе дается определенное время для совместной подготовки. Сами дебаты проводятся во время занятий и направляются преподавателем. Среди примеров интересных тем для дебатов можно назвать: смертная казнь, должны ли государственные органы нести ответственность за ущерб окружающей среде, нанесенный государственными предприятиями, должны ли стороны в гражданском споре обязательно проходить через процедуру медиации перед судебным рассмотрением спора. Доклады студентов могут касаться такого же рода широких тем или просто представлять собой 10-минутные сообщения об интересном вопросе, возникшем в ходе работы студента по делу.</w:t>
      </w: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Встречи студентов с преподавателями.</w:t>
      </w:r>
      <w:r>
        <w:rPr>
          <w:rFonts w:ascii="Times New Roman" w:hAnsi="Times New Roman"/>
          <w:b w:val="0"/>
          <w:sz w:val="22"/>
        </w:rPr>
        <w:t xml:space="preserve"> Такие встречи являются важнейшим компонентом работы студента в юридической клинике или общественной организации. Руководители должны быть уверены, что студенты понимают дела, по которым они работают, и знают, какие действия необходимо совершить. Руководители должны также проверять работу студентов (письменные и устные отчеты о происходящем), чтобы обеспечить соблюдение интересов клиента. Встречи один на один также создают хорошую возможность для дополнительного обучения, для разъяснения возникших правовых вопросов и обсуждения фундаментальных практических навыков юриста. Для достижения наибольшей эффективности студенты должны вести «дневники» по каждому делу с кратким описанием их работы по делу, с которыми преподаватели могут ознакомиться до встречи со студентом.</w:t>
      </w: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Рассказы студентов о своих делах («кейс-раунды»).</w:t>
      </w:r>
      <w:r>
        <w:rPr>
          <w:rFonts w:ascii="Times New Roman" w:hAnsi="Times New Roman"/>
          <w:b w:val="0"/>
          <w:sz w:val="22"/>
        </w:rPr>
        <w:t xml:space="preserve"> Студентам всегда интересно узнавать о делах, по которым работают другие студенты, и предоставление им возможности обсудить друг с другом свои дела создает хорошую возможность для обучения. «Кейс-раунд» означает просто встречу всех студентов, во время которой каждый студент (или команда, если студенты работают по делам в составе команд) кратко — в течение 5 минут — об одном деле, по которому он работает. Остальные студенты и руководитель могут затем задавать вопросы и провести дискуссию.</w:t>
      </w:r>
    </w:p>
    <w:p w:rsidR="00006F04" w:rsidRDefault="00006F04" w:rsidP="00006F04">
      <w:pPr>
        <w:pStyle w:val="a8"/>
        <w:ind w:firstLine="567"/>
        <w:jc w:val="both"/>
        <w:rPr>
          <w:rFonts w:ascii="Times New Roman" w:hAnsi="Times New Roman"/>
          <w:b w:val="0"/>
          <w:sz w:val="22"/>
        </w:rPr>
      </w:pPr>
      <w:r>
        <w:rPr>
          <w:rFonts w:ascii="Times New Roman" w:hAnsi="Times New Roman"/>
          <w:b w:val="0"/>
          <w:i/>
          <w:sz w:val="22"/>
        </w:rPr>
        <w:t>Приглашенные лекторы и экскурсии.</w:t>
      </w:r>
      <w:r>
        <w:rPr>
          <w:rFonts w:ascii="Times New Roman" w:hAnsi="Times New Roman"/>
          <w:b w:val="0"/>
          <w:sz w:val="22"/>
        </w:rPr>
        <w:t xml:space="preserve"> Методика клинического юридического образования основывается на получении студентами «жизненного опыта» путем представления интересов реальных клиентов. Еще одним методом углубления этого опыта является приглашение лекторов (прокуроров, судей, адвокатов, специалистов по различным отраслям права) на занятия для выступлений и ответов на вопросы. Подобным же образом экскурсии, например, в суд для наблюдения за процессом с участием присяжных заседателей, в районную прокуратуру, в приют для бездомных или тюрьму (если, конечно, удастся получить соответствующее разрешение) значительно повышает уровень понимания студентом роли юриста в обществе и его обязанностей.</w:t>
      </w:r>
    </w:p>
    <w:p w:rsidR="00006F04" w:rsidRDefault="00006F04" w:rsidP="00006F04"/>
    <w:p w:rsidR="00006F04" w:rsidRDefault="00006F04" w:rsidP="00006F04"/>
    <w:p w:rsidR="00006F04" w:rsidRDefault="00006F04" w:rsidP="00006F04"/>
    <w:p w:rsidR="00006F04" w:rsidRDefault="00006F04" w:rsidP="00006F04">
      <w:pPr>
        <w:rPr>
          <w:sz w:val="22"/>
        </w:rPr>
      </w:pPr>
    </w:p>
    <w:p w:rsidR="00006F04" w:rsidRDefault="00006F04" w:rsidP="00006F04">
      <w:pPr>
        <w:rPr>
          <w:sz w:val="22"/>
        </w:rPr>
      </w:pPr>
    </w:p>
    <w:p w:rsidR="00006F04" w:rsidRDefault="00006F04" w:rsidP="00006F04">
      <w:pPr>
        <w:rPr>
          <w:sz w:val="22"/>
        </w:rPr>
      </w:pPr>
    </w:p>
    <w:p w:rsidR="00006F04" w:rsidRDefault="00006F04" w:rsidP="00006F04">
      <w:pPr>
        <w:rPr>
          <w:sz w:val="22"/>
        </w:rPr>
      </w:pPr>
    </w:p>
    <w:p w:rsidR="00006F04" w:rsidRDefault="00006F04" w:rsidP="00006F04">
      <w:pPr>
        <w:rPr>
          <w:sz w:val="22"/>
        </w:rPr>
      </w:pPr>
    </w:p>
    <w:p w:rsidR="00006F04" w:rsidRDefault="00006F04" w:rsidP="00006F04">
      <w:pPr>
        <w:rPr>
          <w:sz w:val="22"/>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5E" w:rsidRDefault="007C145E" w:rsidP="00006F04">
      <w:r>
        <w:separator/>
      </w:r>
    </w:p>
  </w:endnote>
  <w:endnote w:type="continuationSeparator" w:id="1">
    <w:p w:rsidR="007C145E" w:rsidRDefault="007C145E" w:rsidP="00006F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5E" w:rsidRDefault="007C145E" w:rsidP="00006F04">
      <w:r>
        <w:separator/>
      </w:r>
    </w:p>
  </w:footnote>
  <w:footnote w:type="continuationSeparator" w:id="1">
    <w:p w:rsidR="007C145E" w:rsidRDefault="007C145E" w:rsidP="00006F04">
      <w:r>
        <w:continuationSeparator/>
      </w:r>
    </w:p>
  </w:footnote>
  <w:footnote w:id="2">
    <w:p w:rsidR="00006F04" w:rsidRDefault="00006F04" w:rsidP="00006F04">
      <w:pPr>
        <w:pStyle w:val="a3"/>
        <w:rPr>
          <w:lang w:val="ru-RU"/>
        </w:rPr>
      </w:pPr>
      <w:r>
        <w:rPr>
          <w:rStyle w:val="a5"/>
        </w:rPr>
        <w:footnoteRef/>
      </w:r>
      <w:r>
        <w:rPr>
          <w:lang w:val="ru-RU"/>
        </w:rPr>
        <w:t xml:space="preserve"> </w:t>
      </w:r>
      <w:r>
        <w:rPr>
          <w:iCs/>
          <w:lang w:val="ru-RU"/>
        </w:rPr>
        <w:t>Маккуойд-Мэйсон, Дэйвид</w:t>
      </w:r>
      <w:r>
        <w:rPr>
          <w:i/>
          <w:lang w:val="ru-RU"/>
        </w:rPr>
        <w:t>.</w:t>
      </w:r>
      <w:r>
        <w:rPr>
          <w:lang w:val="ru-RU"/>
        </w:rPr>
        <w:t xml:space="preserve"> Методы преподавания прав человека. Университет Наталя (ЮАР).</w:t>
      </w:r>
    </w:p>
  </w:footnote>
  <w:footnote w:id="3">
    <w:p w:rsidR="00006F04" w:rsidRDefault="00006F04" w:rsidP="00006F04">
      <w:pPr>
        <w:pStyle w:val="a3"/>
        <w:rPr>
          <w:lang w:val="ru-RU"/>
        </w:rPr>
      </w:pPr>
      <w:r>
        <w:rPr>
          <w:rStyle w:val="a5"/>
          <w:lang w:val="ru-RU"/>
        </w:rPr>
        <w:t>2</w:t>
      </w:r>
      <w:r>
        <w:rPr>
          <w:lang w:val="ru-RU"/>
        </w:rPr>
        <w:t xml:space="preserve"> Там же.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F04"/>
    <w:rsid w:val="00005752"/>
    <w:rsid w:val="00006F04"/>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145E"/>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06F04"/>
    <w:pPr>
      <w:keepNext/>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6F04"/>
    <w:rPr>
      <w:rFonts w:ascii="Times New Roman" w:eastAsia="Times New Roman" w:hAnsi="Times New Roman" w:cs="Times New Roman"/>
      <w:b/>
      <w:i/>
      <w:szCs w:val="24"/>
      <w:lang w:eastAsia="ru-RU"/>
    </w:rPr>
  </w:style>
  <w:style w:type="paragraph" w:styleId="a3">
    <w:name w:val="footnote text"/>
    <w:basedOn w:val="a"/>
    <w:link w:val="a4"/>
    <w:semiHidden/>
    <w:rsid w:val="00006F04"/>
    <w:rPr>
      <w:sz w:val="20"/>
      <w:szCs w:val="20"/>
      <w:lang w:val="en-US"/>
    </w:rPr>
  </w:style>
  <w:style w:type="character" w:customStyle="1" w:styleId="a4">
    <w:name w:val="Текст сноски Знак"/>
    <w:basedOn w:val="a0"/>
    <w:link w:val="a3"/>
    <w:semiHidden/>
    <w:rsid w:val="00006F04"/>
    <w:rPr>
      <w:rFonts w:ascii="Times New Roman" w:eastAsia="Times New Roman" w:hAnsi="Times New Roman" w:cs="Times New Roman"/>
      <w:sz w:val="20"/>
      <w:szCs w:val="20"/>
      <w:lang w:val="en-US" w:eastAsia="ru-RU"/>
    </w:rPr>
  </w:style>
  <w:style w:type="character" w:styleId="a5">
    <w:name w:val="footnote reference"/>
    <w:basedOn w:val="a0"/>
    <w:semiHidden/>
    <w:rsid w:val="00006F04"/>
    <w:rPr>
      <w:vertAlign w:val="superscript"/>
    </w:rPr>
  </w:style>
  <w:style w:type="paragraph" w:styleId="a6">
    <w:name w:val="Subtitle"/>
    <w:basedOn w:val="a"/>
    <w:link w:val="a7"/>
    <w:qFormat/>
    <w:rsid w:val="00006F04"/>
    <w:pPr>
      <w:jc w:val="both"/>
    </w:pPr>
    <w:rPr>
      <w:rFonts w:ascii="Arial" w:hAnsi="Arial"/>
      <w:b/>
      <w:szCs w:val="20"/>
    </w:rPr>
  </w:style>
  <w:style w:type="character" w:customStyle="1" w:styleId="a7">
    <w:name w:val="Подзаголовок Знак"/>
    <w:basedOn w:val="a0"/>
    <w:link w:val="a6"/>
    <w:rsid w:val="00006F04"/>
    <w:rPr>
      <w:rFonts w:ascii="Arial" w:eastAsia="Times New Roman" w:hAnsi="Arial" w:cs="Times New Roman"/>
      <w:b/>
      <w:sz w:val="24"/>
      <w:szCs w:val="20"/>
      <w:lang w:eastAsia="ru-RU"/>
    </w:rPr>
  </w:style>
  <w:style w:type="paragraph" w:styleId="a8">
    <w:name w:val="caption"/>
    <w:basedOn w:val="a"/>
    <w:qFormat/>
    <w:rsid w:val="00006F04"/>
    <w:pPr>
      <w:jc w:val="center"/>
    </w:pPr>
    <w:rPr>
      <w:rFonts w:ascii="Garamond" w:hAnsi="Garamond"/>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2017-07-21T10:15:00Z</dcterms:created>
  <dcterms:modified xsi:type="dcterms:W3CDTF">2017-07-21T10:17:00Z</dcterms:modified>
</cp:coreProperties>
</file>